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73F1334" w14:textId="3716E75D" w:rsidR="00A55521" w:rsidRPr="00A55521" w:rsidRDefault="00A55521" w:rsidP="00F73D44">
      <w:pPr>
        <w:jc w:val="right"/>
        <w:rPr>
          <w:rFonts w:ascii="Sylfaen" w:hAnsi="Sylfaen"/>
          <w:i/>
          <w:iCs/>
          <w:u w:val="single"/>
        </w:rPr>
      </w:pPr>
      <w:r w:rsidRPr="00A55521">
        <w:rPr>
          <w:rFonts w:ascii="Sylfaen" w:hAnsi="Sylfaen"/>
          <w:i/>
          <w:iCs/>
          <w:u w:val="single"/>
        </w:rPr>
        <w:t>პროექტი</w:t>
      </w:r>
    </w:p>
    <w:p w14:paraId="1093165A" w14:textId="77777777" w:rsidR="00A55521" w:rsidRDefault="00A55521" w:rsidP="00F73D44">
      <w:pPr>
        <w:jc w:val="center"/>
        <w:rPr>
          <w:rFonts w:ascii="Sylfaen" w:hAnsi="Sylfaen"/>
        </w:rPr>
      </w:pPr>
    </w:p>
    <w:p w14:paraId="2CA60AF0" w14:textId="39D08BE1" w:rsidR="00A55521" w:rsidRPr="000B0DE9" w:rsidRDefault="00A55521" w:rsidP="00F73D44">
      <w:pPr>
        <w:jc w:val="center"/>
        <w:rPr>
          <w:rFonts w:ascii="Sylfaen" w:hAnsi="Sylfaen"/>
          <w:b/>
          <w:bCs/>
        </w:rPr>
      </w:pPr>
      <w:r w:rsidRPr="000B0DE9">
        <w:rPr>
          <w:rFonts w:ascii="Sylfaen" w:hAnsi="Sylfaen"/>
          <w:b/>
          <w:bCs/>
        </w:rPr>
        <w:t>საქართველოს კანონი</w:t>
      </w:r>
    </w:p>
    <w:p w14:paraId="735064DA" w14:textId="77777777" w:rsidR="00A55521" w:rsidRPr="000B0DE9" w:rsidRDefault="00A55521" w:rsidP="00F73D44">
      <w:pPr>
        <w:jc w:val="center"/>
        <w:rPr>
          <w:rFonts w:ascii="Sylfaen" w:hAnsi="Sylfaen"/>
          <w:b/>
          <w:bCs/>
        </w:rPr>
      </w:pPr>
      <w:r w:rsidRPr="000B0DE9">
        <w:rPr>
          <w:rFonts w:ascii="Sylfaen" w:hAnsi="Sylfaen"/>
          <w:b/>
          <w:bCs/>
        </w:rPr>
        <w:t>„გრანტების შესახებ“ საქართველოს კანონში ცვლილების შეტანის თაობაზე</w:t>
      </w:r>
    </w:p>
    <w:p w14:paraId="6E3A01CB" w14:textId="77777777" w:rsidR="00A55521" w:rsidRPr="00A55521" w:rsidRDefault="00A55521" w:rsidP="00F73D44">
      <w:pPr>
        <w:jc w:val="center"/>
        <w:rPr>
          <w:rFonts w:ascii="Sylfaen" w:hAnsi="Sylfaen"/>
        </w:rPr>
      </w:pPr>
    </w:p>
    <w:p w14:paraId="67D93672" w14:textId="5DDAD38C" w:rsidR="003B5671" w:rsidRDefault="00A55521" w:rsidP="00760C5F">
      <w:pPr>
        <w:jc w:val="both"/>
        <w:rPr>
          <w:rFonts w:ascii="Sylfaen" w:hAnsi="Sylfaen"/>
        </w:rPr>
      </w:pPr>
      <w:r w:rsidRPr="000B0DE9">
        <w:rPr>
          <w:rFonts w:ascii="Sylfaen" w:hAnsi="Sylfaen"/>
          <w:b/>
          <w:bCs/>
        </w:rPr>
        <w:t>მუხლი 1.</w:t>
      </w:r>
      <w:r w:rsidRPr="00A55521">
        <w:rPr>
          <w:rFonts w:ascii="Sylfaen" w:hAnsi="Sylfaen"/>
        </w:rPr>
        <w:t xml:space="preserve"> „გრანტების შესახებ“ საქართველოს კანონ</w:t>
      </w:r>
      <w:r w:rsidR="002F36F1">
        <w:rPr>
          <w:rFonts w:ascii="Sylfaen" w:hAnsi="Sylfaen"/>
        </w:rPr>
        <w:t>ში</w:t>
      </w:r>
      <w:r w:rsidRPr="00A55521">
        <w:rPr>
          <w:rFonts w:ascii="Sylfaen" w:hAnsi="Sylfaen"/>
        </w:rPr>
        <w:t xml:space="preserve"> (პარლამენტის უწყებანი, №19-20, 30.07.96, გვ. 11) </w:t>
      </w:r>
      <w:r w:rsidR="002F36F1">
        <w:rPr>
          <w:rFonts w:ascii="Sylfaen" w:hAnsi="Sylfaen"/>
        </w:rPr>
        <w:t>განხო</w:t>
      </w:r>
      <w:r w:rsidR="001511E0">
        <w:rPr>
          <w:rFonts w:ascii="Sylfaen" w:hAnsi="Sylfaen"/>
        </w:rPr>
        <w:t>რც</w:t>
      </w:r>
      <w:r w:rsidR="003B5671">
        <w:rPr>
          <w:rFonts w:ascii="Sylfaen" w:hAnsi="Sylfaen"/>
        </w:rPr>
        <w:t>იელდეს შემდეგი ცვლილება:</w:t>
      </w:r>
    </w:p>
    <w:p w14:paraId="4263B9AA" w14:textId="4BC1B9C3" w:rsidR="00A55521" w:rsidRPr="003B5671" w:rsidRDefault="003B5671" w:rsidP="00760C5F">
      <w:pPr>
        <w:jc w:val="both"/>
        <w:rPr>
          <w:rFonts w:ascii="Sylfaen" w:hAnsi="Sylfaen"/>
          <w:b/>
          <w:bCs/>
        </w:rPr>
      </w:pPr>
      <w:r w:rsidRPr="003B5671">
        <w:rPr>
          <w:rFonts w:ascii="Sylfaen" w:hAnsi="Sylfaen"/>
          <w:b/>
          <w:bCs/>
        </w:rPr>
        <w:t xml:space="preserve">1. მე-5 მუხლის შემდეგ </w:t>
      </w:r>
      <w:r w:rsidR="00462740" w:rsidRPr="003B5671">
        <w:rPr>
          <w:rFonts w:ascii="Sylfaen" w:hAnsi="Sylfaen"/>
          <w:b/>
          <w:bCs/>
        </w:rPr>
        <w:t>დაემატოს შემდეგი</w:t>
      </w:r>
      <w:r w:rsidR="00556B2A" w:rsidRPr="003B5671">
        <w:rPr>
          <w:rFonts w:ascii="Sylfaen" w:hAnsi="Sylfaen"/>
          <w:b/>
          <w:bCs/>
        </w:rPr>
        <w:t xml:space="preserve"> შინაარსის 5</w:t>
      </w:r>
      <w:r w:rsidR="00556B2A" w:rsidRPr="003B5671">
        <w:rPr>
          <w:rFonts w:ascii="Sylfaen" w:hAnsi="Sylfaen"/>
          <w:b/>
          <w:bCs/>
          <w:vertAlign w:val="superscript"/>
        </w:rPr>
        <w:t>1</w:t>
      </w:r>
      <w:r w:rsidR="00A55521" w:rsidRPr="003B5671">
        <w:rPr>
          <w:rFonts w:ascii="Sylfaen" w:hAnsi="Sylfaen"/>
          <w:b/>
          <w:bCs/>
        </w:rPr>
        <w:t xml:space="preserve"> მუხლი:</w:t>
      </w:r>
    </w:p>
    <w:p w14:paraId="3780044C" w14:textId="554BB5B4" w:rsidR="001321C3" w:rsidRPr="001321C3" w:rsidRDefault="001321C3" w:rsidP="00760C5F">
      <w:pPr>
        <w:jc w:val="both"/>
        <w:rPr>
          <w:rFonts w:ascii="Sylfaen" w:hAnsi="Sylfaen"/>
          <w:b/>
          <w:bCs/>
        </w:rPr>
      </w:pPr>
      <w:r w:rsidRPr="001321C3">
        <w:rPr>
          <w:rFonts w:ascii="Sylfaen" w:hAnsi="Sylfaen"/>
          <w:b/>
          <w:bCs/>
        </w:rPr>
        <w:t>„მუხლი 5</w:t>
      </w:r>
      <w:r w:rsidRPr="001321C3">
        <w:rPr>
          <w:rFonts w:ascii="Sylfaen" w:hAnsi="Sylfaen"/>
          <w:b/>
          <w:bCs/>
          <w:vertAlign w:val="superscript"/>
        </w:rPr>
        <w:t>1</w:t>
      </w:r>
      <w:r w:rsidRPr="001321C3">
        <w:rPr>
          <w:rFonts w:ascii="Sylfaen" w:hAnsi="Sylfaen"/>
          <w:b/>
          <w:bCs/>
        </w:rPr>
        <w:t>. უცხოური დონორის მიერ გრანტის გაცემის წესი</w:t>
      </w:r>
    </w:p>
    <w:p w14:paraId="4531B498" w14:textId="3E181C02" w:rsidR="001321C3" w:rsidRPr="001321C3" w:rsidRDefault="001321C3" w:rsidP="00760C5F">
      <w:pPr>
        <w:jc w:val="both"/>
        <w:rPr>
          <w:rFonts w:ascii="Sylfaen" w:hAnsi="Sylfaen"/>
        </w:rPr>
      </w:pPr>
      <w:r w:rsidRPr="001321C3">
        <w:rPr>
          <w:rFonts w:ascii="Sylfaen" w:hAnsi="Sylfaen"/>
        </w:rPr>
        <w:t>1.</w:t>
      </w:r>
      <w:r>
        <w:rPr>
          <w:rFonts w:ascii="Sylfaen" w:hAnsi="Sylfaen"/>
        </w:rPr>
        <w:t xml:space="preserve"> </w:t>
      </w:r>
      <w:r w:rsidRPr="001321C3">
        <w:rPr>
          <w:rFonts w:ascii="Sylfaen" w:hAnsi="Sylfaen"/>
        </w:rPr>
        <w:t>ამ კანონის მე-3 მუხლის პირველი პუნქტის „ა“ ქვეპუნქტით გათვალ</w:t>
      </w:r>
      <w:r w:rsidR="0060439F">
        <w:rPr>
          <w:rFonts w:ascii="Sylfaen" w:hAnsi="Sylfaen"/>
        </w:rPr>
        <w:t>ი</w:t>
      </w:r>
      <w:r w:rsidRPr="001321C3">
        <w:rPr>
          <w:rFonts w:ascii="Sylfaen" w:hAnsi="Sylfaen"/>
        </w:rPr>
        <w:t xml:space="preserve">სწინებული სუბიექტის მიერ ამ კანონის მე-4 მუხლით გათვალისწინებული სუბიექტისთვის გრანტის გაცემა საჭიროებს </w:t>
      </w:r>
      <w:r w:rsidR="004F273C">
        <w:rPr>
          <w:rFonts w:ascii="Sylfaen" w:hAnsi="Sylfaen"/>
        </w:rPr>
        <w:t>საქართველოს მთავრობის</w:t>
      </w:r>
      <w:r w:rsidR="000255A0">
        <w:rPr>
          <w:rFonts w:ascii="Sylfaen" w:hAnsi="Sylfaen"/>
        </w:rPr>
        <w:t xml:space="preserve"> ან საქართველოს მთავრობის მიერ განსაზღვრული უფლებამოსილი პირის/ორგანოს</w:t>
      </w:r>
      <w:r w:rsidR="00331167">
        <w:rPr>
          <w:rFonts w:ascii="Sylfaen" w:hAnsi="Sylfaen"/>
        </w:rPr>
        <w:t xml:space="preserve"> </w:t>
      </w:r>
      <w:r w:rsidRPr="001321C3">
        <w:rPr>
          <w:rFonts w:ascii="Sylfaen" w:hAnsi="Sylfaen"/>
        </w:rPr>
        <w:t>თანხმობას.</w:t>
      </w:r>
      <w:r w:rsidR="00331167">
        <w:rPr>
          <w:rFonts w:ascii="Sylfaen" w:hAnsi="Sylfaen"/>
          <w:lang w:val="en-US"/>
        </w:rPr>
        <w:t xml:space="preserve"> </w:t>
      </w:r>
      <w:r w:rsidR="00331167" w:rsidRPr="0011631C">
        <w:rPr>
          <w:rFonts w:ascii="Sylfaen" w:hAnsi="Sylfaen"/>
        </w:rPr>
        <w:t>აღნიშნული თანხმობის გაცემის თაობაზე გადაწყვეტილება მიიღება 10 დღის ვადაში და ამ გადაწყვეტილების გასაჩივრება არ აჩერებს მის მოქმედებას.</w:t>
      </w:r>
      <w:r w:rsidRPr="0011631C">
        <w:rPr>
          <w:rFonts w:ascii="Sylfaen" w:hAnsi="Sylfaen"/>
        </w:rPr>
        <w:t xml:space="preserve"> </w:t>
      </w:r>
      <w:r w:rsidR="000826B2">
        <w:rPr>
          <w:rFonts w:ascii="Sylfaen" w:hAnsi="Sylfaen"/>
        </w:rPr>
        <w:t xml:space="preserve">აღნიშნული თანხმობის გარეშე გაცემული </w:t>
      </w:r>
      <w:r w:rsidR="002F36F1">
        <w:rPr>
          <w:rFonts w:ascii="Sylfaen" w:hAnsi="Sylfaen"/>
        </w:rPr>
        <w:t>გრანტის მიღება აკრძალულია.</w:t>
      </w:r>
    </w:p>
    <w:p w14:paraId="1EEA1505" w14:textId="3CD1497A" w:rsidR="001321C3" w:rsidRPr="001321C3" w:rsidRDefault="001321C3" w:rsidP="00760C5F">
      <w:pPr>
        <w:jc w:val="both"/>
        <w:rPr>
          <w:rFonts w:ascii="Sylfaen" w:hAnsi="Sylfaen"/>
        </w:rPr>
      </w:pPr>
      <w:r w:rsidRPr="001321C3">
        <w:rPr>
          <w:rFonts w:ascii="Sylfaen" w:hAnsi="Sylfaen"/>
        </w:rPr>
        <w:t>2.</w:t>
      </w:r>
      <w:r>
        <w:rPr>
          <w:rFonts w:ascii="Sylfaen" w:hAnsi="Sylfaen"/>
        </w:rPr>
        <w:t xml:space="preserve"> </w:t>
      </w:r>
      <w:r w:rsidR="004F273C">
        <w:rPr>
          <w:rFonts w:ascii="Sylfaen" w:hAnsi="Sylfaen"/>
        </w:rPr>
        <w:t xml:space="preserve">შესაბამისი </w:t>
      </w:r>
      <w:r w:rsidRPr="001321C3">
        <w:rPr>
          <w:rFonts w:ascii="Sylfaen" w:hAnsi="Sylfaen"/>
        </w:rPr>
        <w:t xml:space="preserve">თანხმობის მისაღებად გრანტის გამცემმა სუბიექტმა </w:t>
      </w:r>
      <w:r w:rsidR="0045544B">
        <w:rPr>
          <w:rFonts w:ascii="Sylfaen" w:hAnsi="Sylfaen"/>
        </w:rPr>
        <w:t xml:space="preserve">საქართველოს მთავრობას ან საქართველოს მთავრობის მიერ </w:t>
      </w:r>
      <w:r w:rsidR="00D5783C">
        <w:rPr>
          <w:rFonts w:ascii="Sylfaen" w:hAnsi="Sylfaen"/>
        </w:rPr>
        <w:t>განსაზღვრულ</w:t>
      </w:r>
      <w:r w:rsidR="0045544B">
        <w:rPr>
          <w:rFonts w:ascii="Sylfaen" w:hAnsi="Sylfaen"/>
        </w:rPr>
        <w:t xml:space="preserve"> </w:t>
      </w:r>
      <w:r w:rsidR="00D5783C">
        <w:rPr>
          <w:rFonts w:ascii="Sylfaen" w:hAnsi="Sylfaen"/>
        </w:rPr>
        <w:t>უფლებამოსილ</w:t>
      </w:r>
      <w:r w:rsidR="0045544B">
        <w:rPr>
          <w:rFonts w:ascii="Sylfaen" w:hAnsi="Sylfaen"/>
        </w:rPr>
        <w:t xml:space="preserve"> პირს/ორგანოს </w:t>
      </w:r>
      <w:r w:rsidRPr="001321C3">
        <w:rPr>
          <w:rFonts w:ascii="Sylfaen" w:hAnsi="Sylfaen"/>
        </w:rPr>
        <w:t xml:space="preserve"> უნდა წარუდგინოს მე-5 მუხლით გათვალისწინებული ხელშეკრულების პროექტი. </w:t>
      </w:r>
    </w:p>
    <w:p w14:paraId="5AF5846E" w14:textId="78D418B2" w:rsidR="00D63DBF" w:rsidRDefault="001321C3" w:rsidP="00760C5F">
      <w:pPr>
        <w:jc w:val="both"/>
        <w:rPr>
          <w:rFonts w:ascii="Sylfaen" w:hAnsi="Sylfaen"/>
        </w:rPr>
      </w:pPr>
      <w:r w:rsidRPr="001321C3">
        <w:rPr>
          <w:rFonts w:ascii="Sylfaen" w:hAnsi="Sylfaen"/>
        </w:rPr>
        <w:t>3.</w:t>
      </w:r>
      <w:r>
        <w:rPr>
          <w:rFonts w:ascii="Sylfaen" w:hAnsi="Sylfaen"/>
        </w:rPr>
        <w:t xml:space="preserve"> </w:t>
      </w:r>
      <w:r w:rsidRPr="001321C3">
        <w:rPr>
          <w:rFonts w:ascii="Sylfaen" w:hAnsi="Sylfaen"/>
        </w:rPr>
        <w:t>ეს წესი არ ვრცელდება საერთაშორისო სპორტული ასოციაციის, ფედერაციის და კომიტეტის მიერ გრანტის გაცემაზე, საქართველოს საზღვრებს გარეთ საშუალო და უმაღლესი განათლების მიღებისთვის და სამეცნიერო მუშაობისთვის გაცემულ ინდივიდუალურ სტიპენდიაზე, ისევე როგორც საქართველოში მოქმედი საერთაშორისო ორგანიზაციის მიერ გრანტის მიღებაზე.</w:t>
      </w:r>
      <w:r w:rsidR="003B5671">
        <w:rPr>
          <w:rFonts w:ascii="Sylfaen" w:hAnsi="Sylfaen"/>
        </w:rPr>
        <w:t>“.</w:t>
      </w:r>
    </w:p>
    <w:p w14:paraId="38220D30" w14:textId="5474B381" w:rsidR="003B5671" w:rsidRPr="004C53EE" w:rsidRDefault="003B5671" w:rsidP="00760C5F">
      <w:pPr>
        <w:jc w:val="both"/>
        <w:rPr>
          <w:rFonts w:ascii="Sylfaen" w:hAnsi="Sylfaen"/>
          <w:b/>
          <w:bCs/>
        </w:rPr>
      </w:pPr>
      <w:r w:rsidRPr="004C53EE">
        <w:rPr>
          <w:rFonts w:ascii="Sylfaen" w:hAnsi="Sylfaen"/>
          <w:b/>
          <w:bCs/>
        </w:rPr>
        <w:t xml:space="preserve">2. </w:t>
      </w:r>
      <w:r w:rsidR="006B2DB2" w:rsidRPr="004C53EE">
        <w:rPr>
          <w:rFonts w:ascii="Sylfaen" w:hAnsi="Sylfaen"/>
          <w:b/>
          <w:bCs/>
        </w:rPr>
        <w:t xml:space="preserve">მე-6 მუხლის შემდეგ დაემატოს შემდეგი შინაარსის </w:t>
      </w:r>
      <w:r w:rsidR="004C53EE" w:rsidRPr="004C53EE">
        <w:rPr>
          <w:rFonts w:ascii="Sylfaen" w:hAnsi="Sylfaen"/>
          <w:b/>
          <w:bCs/>
        </w:rPr>
        <w:t>6</w:t>
      </w:r>
      <w:r w:rsidR="004C53EE" w:rsidRPr="004C53EE">
        <w:rPr>
          <w:rFonts w:ascii="Sylfaen" w:hAnsi="Sylfaen"/>
          <w:b/>
          <w:bCs/>
          <w:vertAlign w:val="superscript"/>
        </w:rPr>
        <w:t>1</w:t>
      </w:r>
      <w:r w:rsidR="006B2DB2" w:rsidRPr="004C53EE">
        <w:rPr>
          <w:rFonts w:ascii="Sylfaen" w:hAnsi="Sylfaen"/>
          <w:b/>
          <w:bCs/>
        </w:rPr>
        <w:t xml:space="preserve"> </w:t>
      </w:r>
      <w:r w:rsidR="002B7BCF">
        <w:rPr>
          <w:rFonts w:ascii="Sylfaen" w:hAnsi="Sylfaen"/>
          <w:b/>
          <w:bCs/>
        </w:rPr>
        <w:t>–</w:t>
      </w:r>
      <w:r w:rsidR="006B2DB2" w:rsidRPr="004C53EE">
        <w:rPr>
          <w:rFonts w:ascii="Sylfaen" w:hAnsi="Sylfaen"/>
          <w:b/>
          <w:bCs/>
        </w:rPr>
        <w:t xml:space="preserve"> </w:t>
      </w:r>
      <w:r w:rsidR="004C53EE" w:rsidRPr="004C53EE">
        <w:rPr>
          <w:rFonts w:ascii="Sylfaen" w:hAnsi="Sylfaen"/>
          <w:b/>
          <w:bCs/>
        </w:rPr>
        <w:t>6</w:t>
      </w:r>
      <w:r w:rsidR="002B7BCF">
        <w:rPr>
          <w:rFonts w:ascii="Sylfaen" w:hAnsi="Sylfaen"/>
          <w:b/>
          <w:bCs/>
          <w:vertAlign w:val="superscript"/>
        </w:rPr>
        <w:t>4</w:t>
      </w:r>
      <w:r w:rsidR="006B2DB2" w:rsidRPr="004C53EE">
        <w:rPr>
          <w:rFonts w:ascii="Sylfaen" w:hAnsi="Sylfaen"/>
          <w:b/>
          <w:bCs/>
        </w:rPr>
        <w:t xml:space="preserve"> მუხლები:</w:t>
      </w:r>
    </w:p>
    <w:p w14:paraId="49741241" w14:textId="50275E82" w:rsidR="006B2DB2" w:rsidRPr="004C53EE" w:rsidRDefault="004C53EE" w:rsidP="00760C5F">
      <w:pPr>
        <w:jc w:val="both"/>
        <w:rPr>
          <w:rFonts w:ascii="Sylfaen" w:hAnsi="Sylfaen"/>
          <w:b/>
          <w:bCs/>
        </w:rPr>
      </w:pPr>
      <w:r w:rsidRPr="004C53EE">
        <w:rPr>
          <w:rFonts w:ascii="Sylfaen" w:hAnsi="Sylfaen"/>
          <w:b/>
          <w:bCs/>
        </w:rPr>
        <w:t>„6</w:t>
      </w:r>
      <w:r w:rsidRPr="004C53EE">
        <w:rPr>
          <w:rFonts w:ascii="Sylfaen" w:hAnsi="Sylfaen"/>
          <w:b/>
          <w:bCs/>
          <w:vertAlign w:val="superscript"/>
        </w:rPr>
        <w:t>1</w:t>
      </w:r>
      <w:r w:rsidR="00256423" w:rsidRPr="004C53EE">
        <w:rPr>
          <w:rFonts w:ascii="Sylfaen" w:hAnsi="Sylfaen"/>
          <w:b/>
          <w:bCs/>
        </w:rPr>
        <w:t xml:space="preserve">. </w:t>
      </w:r>
      <w:r w:rsidR="00B42C79" w:rsidRPr="004C53EE">
        <w:rPr>
          <w:rFonts w:ascii="Sylfaen" w:hAnsi="Sylfaen"/>
          <w:b/>
          <w:bCs/>
        </w:rPr>
        <w:t xml:space="preserve">აკრძალული გრანტის </w:t>
      </w:r>
      <w:r w:rsidR="00211D1F" w:rsidRPr="004C53EE">
        <w:rPr>
          <w:rFonts w:ascii="Sylfaen" w:hAnsi="Sylfaen"/>
          <w:b/>
          <w:bCs/>
        </w:rPr>
        <w:t>გაცემისა და მიღების მონიტორინგი</w:t>
      </w:r>
    </w:p>
    <w:p w14:paraId="0D91DC47" w14:textId="455D1DCD" w:rsidR="005D52BF" w:rsidRDefault="005D52BF" w:rsidP="00760C5F">
      <w:pPr>
        <w:jc w:val="both"/>
        <w:rPr>
          <w:rFonts w:ascii="Sylfaen" w:hAnsi="Sylfaen"/>
        </w:rPr>
      </w:pPr>
      <w:r w:rsidRPr="00211D1F">
        <w:rPr>
          <w:rFonts w:ascii="Sylfaen" w:hAnsi="Sylfaen"/>
        </w:rPr>
        <w:t>1. აკრძალული გრანტის გაცემ</w:t>
      </w:r>
      <w:r w:rsidR="000770C6" w:rsidRPr="00211D1F">
        <w:rPr>
          <w:rFonts w:ascii="Sylfaen" w:hAnsi="Sylfaen"/>
        </w:rPr>
        <w:t xml:space="preserve">ისა და მიღების მონიტორინგს ახორციელებს </w:t>
      </w:r>
      <w:r w:rsidR="00211D1F" w:rsidRPr="00211D1F">
        <w:rPr>
          <w:rFonts w:ascii="Sylfaen" w:hAnsi="Sylfaen"/>
        </w:rPr>
        <w:t>საჯარო სამართლის იურიდიული პირი − ანტიკორუფციული ბიურო (შემდგომ − ანტიკორუფციული ბიურო)</w:t>
      </w:r>
      <w:r w:rsidR="00913973">
        <w:rPr>
          <w:rFonts w:ascii="Sylfaen" w:hAnsi="Sylfaen"/>
        </w:rPr>
        <w:t>.</w:t>
      </w:r>
    </w:p>
    <w:p w14:paraId="78385A92" w14:textId="524A7952" w:rsidR="008E795E" w:rsidRDefault="008E795E" w:rsidP="00760C5F">
      <w:pPr>
        <w:jc w:val="both"/>
        <w:rPr>
          <w:rFonts w:ascii="Sylfaen" w:hAnsi="Sylfaen"/>
        </w:rPr>
      </w:pPr>
      <w:r>
        <w:rPr>
          <w:rFonts w:ascii="Sylfaen" w:hAnsi="Sylfaen"/>
        </w:rPr>
        <w:t xml:space="preserve">2. </w:t>
      </w:r>
      <w:r w:rsidR="00CF08D1">
        <w:rPr>
          <w:rFonts w:ascii="Sylfaen" w:hAnsi="Sylfaen"/>
        </w:rPr>
        <w:t>ამ კა</w:t>
      </w:r>
      <w:r w:rsidR="00732828">
        <w:rPr>
          <w:rFonts w:ascii="Sylfaen" w:hAnsi="Sylfaen"/>
        </w:rPr>
        <w:t>ნონით გათვალისწინებული უკანონო გრანტის გაცემისა და მიღების მონიტორინგის წესს, საჭიროების შემთხვევაში, ა</w:t>
      </w:r>
      <w:r w:rsidR="00F554C3">
        <w:rPr>
          <w:rFonts w:ascii="Sylfaen" w:hAnsi="Sylfaen"/>
        </w:rPr>
        <w:t>დგენს</w:t>
      </w:r>
      <w:r w:rsidR="00732828">
        <w:rPr>
          <w:rFonts w:ascii="Sylfaen" w:hAnsi="Sylfaen"/>
        </w:rPr>
        <w:t xml:space="preserve"> ანტიკორუფციული ბიურო</w:t>
      </w:r>
      <w:r w:rsidR="00F554C3">
        <w:rPr>
          <w:rFonts w:ascii="Sylfaen" w:hAnsi="Sylfaen"/>
        </w:rPr>
        <w:t>.</w:t>
      </w:r>
    </w:p>
    <w:p w14:paraId="2DD3E08A" w14:textId="74D9876B" w:rsidR="00A559A1" w:rsidRDefault="00A559A1" w:rsidP="00760C5F">
      <w:pPr>
        <w:jc w:val="both"/>
        <w:rPr>
          <w:rFonts w:ascii="Sylfaen" w:hAnsi="Sylfaen"/>
        </w:rPr>
      </w:pPr>
      <w:r>
        <w:rPr>
          <w:rFonts w:ascii="Sylfaen" w:hAnsi="Sylfaen"/>
        </w:rPr>
        <w:t xml:space="preserve">3. </w:t>
      </w:r>
      <w:r w:rsidR="00354162">
        <w:rPr>
          <w:rFonts w:ascii="Sylfaen" w:hAnsi="Sylfaen"/>
        </w:rPr>
        <w:t>მონიტორინგის მიზნებისთვის ანტიკორუფციული ბიურო უფლებამოსილია:</w:t>
      </w:r>
    </w:p>
    <w:p w14:paraId="63F1AA63" w14:textId="66BFC2A5" w:rsidR="004C53EE" w:rsidRDefault="00354162" w:rsidP="00760C5F">
      <w:pPr>
        <w:jc w:val="both"/>
        <w:rPr>
          <w:rFonts w:ascii="Sylfaen" w:hAnsi="Sylfaen"/>
        </w:rPr>
      </w:pPr>
      <w:r>
        <w:rPr>
          <w:rFonts w:ascii="Sylfaen" w:hAnsi="Sylfaen"/>
        </w:rPr>
        <w:t xml:space="preserve">ა) </w:t>
      </w:r>
      <w:r w:rsidR="002D09D8" w:rsidRPr="002D09D8">
        <w:rPr>
          <w:rFonts w:ascii="Sylfaen" w:hAnsi="Sylfaen"/>
        </w:rPr>
        <w:t xml:space="preserve">პირისგან გამოითხოვოს ფინანსური ანგარიში, თუ არსებობს დასაბუთებული ვარაუდი ამ კანონის </w:t>
      </w:r>
      <w:r w:rsidR="002D09D8">
        <w:rPr>
          <w:rFonts w:ascii="Sylfaen" w:hAnsi="Sylfaen"/>
        </w:rPr>
        <w:t>5</w:t>
      </w:r>
      <w:r w:rsidR="002D09D8" w:rsidRPr="002D09D8">
        <w:rPr>
          <w:rFonts w:ascii="Sylfaen" w:hAnsi="Sylfaen"/>
          <w:vertAlign w:val="superscript"/>
        </w:rPr>
        <w:t>1</w:t>
      </w:r>
      <w:r w:rsidR="002D09D8" w:rsidRPr="002D09D8">
        <w:rPr>
          <w:rFonts w:ascii="Sylfaen" w:hAnsi="Sylfaen"/>
        </w:rPr>
        <w:t> მუხლით გათვალისწინებული გარემოებების არსებობის თაობაზე;</w:t>
      </w:r>
    </w:p>
    <w:p w14:paraId="06DA5778" w14:textId="67DB7E63" w:rsidR="003A6FCF" w:rsidRPr="003A6FCF" w:rsidRDefault="00795F3B" w:rsidP="00760C5F">
      <w:pPr>
        <w:jc w:val="both"/>
        <w:rPr>
          <w:rFonts w:ascii="Sylfaen" w:hAnsi="Sylfaen"/>
        </w:rPr>
      </w:pPr>
      <w:r>
        <w:rPr>
          <w:rFonts w:ascii="Sylfaen" w:hAnsi="Sylfaen"/>
        </w:rPr>
        <w:t xml:space="preserve">ბ) </w:t>
      </w:r>
      <w:r w:rsidR="009E04DF">
        <w:rPr>
          <w:rFonts w:ascii="Sylfaen" w:hAnsi="Sylfaen"/>
        </w:rPr>
        <w:t xml:space="preserve">გამოკითხოს </w:t>
      </w:r>
      <w:r w:rsidR="003A6FCF" w:rsidRPr="003A6FCF">
        <w:rPr>
          <w:rFonts w:ascii="Sylfaen" w:hAnsi="Sylfaen"/>
        </w:rPr>
        <w:t>ფიზიკური პირი ამ კანონით დადგენილი წესით;</w:t>
      </w:r>
    </w:p>
    <w:p w14:paraId="015A5A7C" w14:textId="77777777" w:rsidR="003A6FCF" w:rsidRPr="003A6FCF" w:rsidRDefault="003A6FCF" w:rsidP="00760C5F">
      <w:pPr>
        <w:jc w:val="both"/>
        <w:rPr>
          <w:rFonts w:ascii="Sylfaen" w:hAnsi="Sylfaen"/>
        </w:rPr>
      </w:pPr>
    </w:p>
    <w:p w14:paraId="024DE9E5" w14:textId="63BCED63" w:rsidR="003A6FCF" w:rsidRPr="003A6FCF" w:rsidRDefault="00720253" w:rsidP="00760C5F">
      <w:pPr>
        <w:jc w:val="both"/>
        <w:rPr>
          <w:rFonts w:ascii="Sylfaen" w:hAnsi="Sylfaen"/>
        </w:rPr>
      </w:pPr>
      <w:r>
        <w:rPr>
          <w:rFonts w:ascii="Sylfaen" w:hAnsi="Sylfaen"/>
        </w:rPr>
        <w:t>გ</w:t>
      </w:r>
      <w:r w:rsidR="003A6FCF" w:rsidRPr="003A6FCF">
        <w:rPr>
          <w:rFonts w:ascii="Sylfaen" w:hAnsi="Sylfaen"/>
        </w:rPr>
        <w:t xml:space="preserve">) </w:t>
      </w:r>
      <w:r w:rsidR="009E04DF">
        <w:rPr>
          <w:rFonts w:ascii="Sylfaen" w:hAnsi="Sylfaen"/>
        </w:rPr>
        <w:t xml:space="preserve">დაკითხოს </w:t>
      </w:r>
      <w:r w:rsidR="003A6FCF" w:rsidRPr="003A6FCF">
        <w:rPr>
          <w:rFonts w:ascii="Sylfaen" w:hAnsi="Sylfaen"/>
        </w:rPr>
        <w:t xml:space="preserve">ფიზიკური პირი მაგისტრატი მოსამართლის წინაშე </w:t>
      </w:r>
      <w:r w:rsidR="009E04DF">
        <w:rPr>
          <w:rFonts w:ascii="Sylfaen" w:hAnsi="Sylfaen"/>
        </w:rPr>
        <w:t>ს</w:t>
      </w:r>
      <w:r w:rsidR="003A6FCF" w:rsidRPr="003A6FCF">
        <w:rPr>
          <w:rFonts w:ascii="Sylfaen" w:hAnsi="Sylfaen"/>
        </w:rPr>
        <w:t>აქართველოს ადმინისტრაციული საპროცესო კოდექსით დადგენილი წესით;</w:t>
      </w:r>
    </w:p>
    <w:p w14:paraId="3769685C" w14:textId="50B84B1D" w:rsidR="003A6FCF" w:rsidRDefault="00720253" w:rsidP="00760C5F">
      <w:pPr>
        <w:jc w:val="both"/>
        <w:rPr>
          <w:rFonts w:ascii="Sylfaen" w:hAnsi="Sylfaen"/>
        </w:rPr>
      </w:pPr>
      <w:r>
        <w:rPr>
          <w:rFonts w:ascii="Sylfaen" w:hAnsi="Sylfaen"/>
        </w:rPr>
        <w:t>დ</w:t>
      </w:r>
      <w:r w:rsidR="003A6FCF" w:rsidRPr="003A6FCF">
        <w:rPr>
          <w:rFonts w:ascii="Sylfaen" w:hAnsi="Sylfaen"/>
        </w:rPr>
        <w:t xml:space="preserve">) საჯარო დაწესებულებისგან, ფიზიკური პირისგან, იურიდიული პირისგან (მათ შორის, საგადახდო მომსახურების პროვაიდერისგან), სხვა სუბიექტისგან </w:t>
      </w:r>
      <w:r w:rsidR="009E04DF">
        <w:rPr>
          <w:rFonts w:ascii="Sylfaen" w:hAnsi="Sylfaen"/>
        </w:rPr>
        <w:t xml:space="preserve">გამოითხოვოს </w:t>
      </w:r>
      <w:r w:rsidR="003A6FCF" w:rsidRPr="003A6FCF">
        <w:rPr>
          <w:rFonts w:ascii="Sylfaen" w:hAnsi="Sylfaen"/>
        </w:rPr>
        <w:t>საჭირო ინფორმაცი</w:t>
      </w:r>
      <w:r w:rsidR="009E04DF">
        <w:rPr>
          <w:rFonts w:ascii="Sylfaen" w:hAnsi="Sylfaen"/>
        </w:rPr>
        <w:t>ა</w:t>
      </w:r>
      <w:r w:rsidR="003A6FCF" w:rsidRPr="003A6FCF">
        <w:rPr>
          <w:rFonts w:ascii="Sylfaen" w:hAnsi="Sylfaen"/>
        </w:rPr>
        <w:t>, მათ შორის, განსაკუთრებული კატეგორიის პერსონალური მონაცემი, სხვა პერსონალური მონაცემი</w:t>
      </w:r>
      <w:r w:rsidR="009E04DF">
        <w:rPr>
          <w:rFonts w:ascii="Sylfaen" w:hAnsi="Sylfaen"/>
        </w:rPr>
        <w:t>ს</w:t>
      </w:r>
      <w:r w:rsidR="003A6FCF" w:rsidRPr="003A6FCF">
        <w:rPr>
          <w:rFonts w:ascii="Sylfaen" w:hAnsi="Sylfaen"/>
        </w:rPr>
        <w:t xml:space="preserve"> და საიდუმლოების (გარდა საქართველოს კანონმდებლობით გათვალისწინებული სახელმწიფო საიდუმლოებისა) შემცველი ინფორმაცი</w:t>
      </w:r>
      <w:r w:rsidR="009E04DF">
        <w:rPr>
          <w:rFonts w:ascii="Sylfaen" w:hAnsi="Sylfaen"/>
        </w:rPr>
        <w:t>ა</w:t>
      </w:r>
      <w:r w:rsidR="007F5551">
        <w:rPr>
          <w:rFonts w:ascii="Sylfaen" w:hAnsi="Sylfaen"/>
        </w:rPr>
        <w:t>;</w:t>
      </w:r>
    </w:p>
    <w:p w14:paraId="653C8600" w14:textId="2B64FE06" w:rsidR="007F5551" w:rsidRPr="003A6FCF" w:rsidRDefault="007F5551" w:rsidP="00760C5F">
      <w:pPr>
        <w:jc w:val="both"/>
        <w:rPr>
          <w:rFonts w:ascii="Sylfaen" w:hAnsi="Sylfaen"/>
        </w:rPr>
      </w:pPr>
      <w:r>
        <w:rPr>
          <w:rFonts w:ascii="Sylfaen" w:hAnsi="Sylfaen"/>
        </w:rPr>
        <w:t xml:space="preserve">ე) </w:t>
      </w:r>
      <w:r w:rsidRPr="007F5551">
        <w:rPr>
          <w:rFonts w:ascii="Sylfaen" w:hAnsi="Sylfaen"/>
        </w:rPr>
        <w:t>განახორციელოს კანონით განსაზღვრული სხვა უფლებამოსილებები</w:t>
      </w:r>
      <w:r>
        <w:rPr>
          <w:rFonts w:ascii="Sylfaen" w:hAnsi="Sylfaen"/>
        </w:rPr>
        <w:t>.</w:t>
      </w:r>
    </w:p>
    <w:p w14:paraId="27851CB5" w14:textId="61D55E12" w:rsidR="00795F3B" w:rsidRPr="001F30B4" w:rsidRDefault="003A6FCF" w:rsidP="00760C5F">
      <w:pPr>
        <w:jc w:val="both"/>
        <w:rPr>
          <w:rFonts w:ascii="Sylfaen" w:hAnsi="Sylfaen"/>
        </w:rPr>
      </w:pPr>
      <w:r w:rsidRPr="003A6FCF">
        <w:rPr>
          <w:rFonts w:ascii="Sylfaen" w:hAnsi="Sylfaen"/>
        </w:rPr>
        <w:t>3. თუ არსებობს დასაბუთებული ვარაუდი ამ კანონით დადგენილი მოთხოვნების დარღვევის შესახებ, სახელმწიფო ორგანოები ამის თაობაზე ინფორმაციას აწვდიან ანტიკორუფციულ ბიუროს.</w:t>
      </w:r>
    </w:p>
    <w:p w14:paraId="74274812" w14:textId="2F90E08C" w:rsidR="00720253" w:rsidRPr="00720253" w:rsidRDefault="00720253" w:rsidP="00760C5F">
      <w:pPr>
        <w:jc w:val="both"/>
        <w:rPr>
          <w:rFonts w:ascii="Sylfaen" w:hAnsi="Sylfaen"/>
        </w:rPr>
      </w:pPr>
      <w:r w:rsidRPr="00720253">
        <w:rPr>
          <w:rFonts w:ascii="Sylfaen" w:hAnsi="Sylfaen"/>
        </w:rPr>
        <w:t xml:space="preserve">4. ამ მუხლის </w:t>
      </w:r>
      <w:r>
        <w:rPr>
          <w:rFonts w:ascii="Sylfaen" w:hAnsi="Sylfaen"/>
        </w:rPr>
        <w:t>მე-3</w:t>
      </w:r>
      <w:r w:rsidRPr="00720253">
        <w:rPr>
          <w:rFonts w:ascii="Sylfaen" w:hAnsi="Sylfaen"/>
        </w:rPr>
        <w:t> პუნქტის „</w:t>
      </w:r>
      <w:r>
        <w:rPr>
          <w:rFonts w:ascii="Sylfaen" w:hAnsi="Sylfaen"/>
        </w:rPr>
        <w:t>დ</w:t>
      </w:r>
      <w:r w:rsidRPr="00720253">
        <w:rPr>
          <w:rFonts w:ascii="Sylfaen" w:hAnsi="Sylfaen"/>
        </w:rPr>
        <w:t>“ ქვეპუნქტით გათვალისწინებულ იმ ინფორმაციას, რომელიც საჯარო ინფორმაციას არ მიეკუთვნება, ანტიკორუფციული ბიურო სასამართლოს გადაწყვეტილების საფუძველზე გამოითხოვს. ამ მიზნით ანტიკორუფციული ბიურო სასამართლოს წარუდგენს მიმართვას თავისი ადგილსამყოფლის მიხედვით. ამ შემთხვევაში სასამართლო გადაწყვეტილებას იღებს აღნიშნული მიმართვის წარდგენიდან 48 საათში. ანტიკორუფციული ბიუროს მიმართვა დასაბუთებული უნდა იყოს. მასში მითითებული უნდა იყოს ინფორმაციის გამოთხოვის საფუძველი და მიზანი, გამოსათხოვი ინფორმაციის პერიოდი და მოცულობა. ამ მიმართვის დაკმაყოფილების შემთხვევაში სასამართლოს გადაწყვეტილებაში უნდა მიეთითოს ინფორმაციის გამოთხოვის საფუძველი და მიზანი, გამოსათხოვი ინფორმაციის პერიოდი და მოცულობა, აგრეთვე აღნიშნული გადაწყვეტილების მოქმედების ვადა.</w:t>
      </w:r>
    </w:p>
    <w:p w14:paraId="2204C337" w14:textId="6778C6F3" w:rsidR="00720253" w:rsidRPr="00720253" w:rsidRDefault="00720253" w:rsidP="00760C5F">
      <w:pPr>
        <w:jc w:val="both"/>
        <w:rPr>
          <w:rFonts w:ascii="Sylfaen" w:hAnsi="Sylfaen"/>
        </w:rPr>
      </w:pPr>
      <w:r w:rsidRPr="00720253">
        <w:rPr>
          <w:rFonts w:ascii="Sylfaen" w:hAnsi="Sylfaen"/>
        </w:rPr>
        <w:t xml:space="preserve">5. ყველა სუბიექტი, </w:t>
      </w:r>
      <w:r w:rsidR="0011631C">
        <w:rPr>
          <w:rFonts w:ascii="Sylfaen" w:hAnsi="Sylfaen"/>
        </w:rPr>
        <w:t>რომლებ</w:t>
      </w:r>
      <w:r w:rsidRPr="00720253">
        <w:rPr>
          <w:rFonts w:ascii="Sylfaen" w:hAnsi="Sylfaen"/>
        </w:rPr>
        <w:t>საც ანტიკორუფციული ბიურო მოსთხოვს ამ კანონით გათვალისწინებული ინფორმაციის წარდგენას, ვალდებულია წარუდგინოს მას თავის ხელთ არსებული აღნიშნული ინფორმაცია.</w:t>
      </w:r>
    </w:p>
    <w:p w14:paraId="2BC1E561" w14:textId="00412E26" w:rsidR="00720253" w:rsidRDefault="00720253" w:rsidP="00760C5F">
      <w:pPr>
        <w:jc w:val="both"/>
        <w:rPr>
          <w:rFonts w:ascii="Sylfaen" w:hAnsi="Sylfaen"/>
        </w:rPr>
      </w:pPr>
      <w:r w:rsidRPr="00720253">
        <w:rPr>
          <w:rFonts w:ascii="Sylfaen" w:hAnsi="Sylfaen"/>
        </w:rPr>
        <w:t xml:space="preserve">6. ამ </w:t>
      </w:r>
      <w:r w:rsidR="00AC7AD0">
        <w:rPr>
          <w:rFonts w:ascii="Sylfaen" w:hAnsi="Sylfaen"/>
        </w:rPr>
        <w:t>კანონით</w:t>
      </w:r>
      <w:r w:rsidRPr="00720253">
        <w:rPr>
          <w:rFonts w:ascii="Sylfaen" w:hAnsi="Sylfaen"/>
        </w:rPr>
        <w:t xml:space="preserve"> გათვალისწინებული უფლებამოსილების განხორციელებისას ანტიკორუფციული ბიურო ადმინისტრაციულ წარმოებას ახორციელებს არაუმეტეს 3 თვის განმავლობაში. ანტიკორუფციული ბიუროს უფროსს უფლება აქვს, საჭიროების შემთხვევაში ეს ვადა არაუმეტეს 3 თვით გაახანგრძლივოს.</w:t>
      </w:r>
    </w:p>
    <w:p w14:paraId="1D4B6DF7" w14:textId="412E9C8A" w:rsidR="005015A5" w:rsidRDefault="005015A5" w:rsidP="00760C5F">
      <w:pPr>
        <w:jc w:val="both"/>
        <w:rPr>
          <w:rFonts w:ascii="Sylfaen" w:hAnsi="Sylfaen"/>
          <w:b/>
          <w:bCs/>
        </w:rPr>
      </w:pPr>
      <w:r w:rsidRPr="004C53EE">
        <w:rPr>
          <w:rFonts w:ascii="Sylfaen" w:hAnsi="Sylfaen"/>
          <w:b/>
          <w:bCs/>
        </w:rPr>
        <w:t>6</w:t>
      </w:r>
      <w:r w:rsidR="00EC6E1E">
        <w:rPr>
          <w:rFonts w:ascii="Sylfaen" w:hAnsi="Sylfaen"/>
          <w:b/>
          <w:bCs/>
          <w:vertAlign w:val="superscript"/>
        </w:rPr>
        <w:t>2</w:t>
      </w:r>
      <w:r w:rsidRPr="004C53EE">
        <w:rPr>
          <w:rFonts w:ascii="Sylfaen" w:hAnsi="Sylfaen"/>
          <w:b/>
          <w:bCs/>
        </w:rPr>
        <w:t>.</w:t>
      </w:r>
      <w:r>
        <w:rPr>
          <w:rFonts w:ascii="Sylfaen" w:hAnsi="Sylfaen"/>
          <w:b/>
          <w:bCs/>
        </w:rPr>
        <w:t xml:space="preserve"> </w:t>
      </w:r>
      <w:r w:rsidRPr="004C53EE">
        <w:rPr>
          <w:rFonts w:ascii="Sylfaen" w:hAnsi="Sylfaen"/>
          <w:b/>
          <w:bCs/>
        </w:rPr>
        <w:t>აკრძალული გრანტის მიღებ</w:t>
      </w:r>
      <w:r>
        <w:rPr>
          <w:rFonts w:ascii="Sylfaen" w:hAnsi="Sylfaen"/>
          <w:b/>
          <w:bCs/>
        </w:rPr>
        <w:t xml:space="preserve">ასთან დაკავშირებით </w:t>
      </w:r>
      <w:r w:rsidR="00F4106F">
        <w:rPr>
          <w:rFonts w:ascii="Sylfaen" w:hAnsi="Sylfaen"/>
          <w:b/>
          <w:bCs/>
        </w:rPr>
        <w:t>პირის გამოკითხვა</w:t>
      </w:r>
    </w:p>
    <w:p w14:paraId="06C7F6D3" w14:textId="24E19823" w:rsidR="005015A5" w:rsidRPr="005015A5" w:rsidRDefault="005015A5" w:rsidP="00760C5F">
      <w:pPr>
        <w:jc w:val="both"/>
        <w:rPr>
          <w:rFonts w:ascii="Sylfaen" w:hAnsi="Sylfaen"/>
        </w:rPr>
      </w:pPr>
      <w:r w:rsidRPr="005015A5">
        <w:rPr>
          <w:rFonts w:ascii="Sylfaen" w:hAnsi="Sylfaen"/>
        </w:rPr>
        <w:t xml:space="preserve">1. ფიზიკური პირი, რომელსაც შესაძლებელია ჰქონდეს ანტიკორუფციული ბიუროს მიერ </w:t>
      </w:r>
      <w:r w:rsidR="00BD3662">
        <w:rPr>
          <w:rFonts w:ascii="Sylfaen" w:hAnsi="Sylfaen"/>
        </w:rPr>
        <w:t>აკრძალული გრანტის მიღების</w:t>
      </w:r>
      <w:r w:rsidRPr="005015A5">
        <w:rPr>
          <w:rFonts w:ascii="Sylfaen" w:hAnsi="Sylfaen"/>
        </w:rPr>
        <w:t xml:space="preserve"> მონიტორინგის განსახორციელებლად საჭირო ინფორმაცია, შეიძლება ნებაყოფლობით გამოჰკითხოს ანტიკორუფციულმა ბიურომ. დაუშვებელია, გამოსაკითხი პირი აიძულონ, წარადგინოს მტკიცებულება ან გასცეს ინფორმაცია.</w:t>
      </w:r>
    </w:p>
    <w:p w14:paraId="0940F2D5" w14:textId="77777777" w:rsidR="005015A5" w:rsidRPr="005015A5" w:rsidRDefault="005015A5" w:rsidP="00760C5F">
      <w:pPr>
        <w:jc w:val="both"/>
        <w:rPr>
          <w:rFonts w:ascii="Sylfaen" w:hAnsi="Sylfaen"/>
        </w:rPr>
      </w:pPr>
      <w:r w:rsidRPr="005015A5">
        <w:rPr>
          <w:rFonts w:ascii="Sylfaen" w:hAnsi="Sylfaen"/>
        </w:rPr>
        <w:t xml:space="preserve">2. გამოსაკითხ პირს უფლება აქვს, თავისი ხარჯით ისარგებლოს ადვოკატის მომსახურებით, არ გასცეს ინფორმაცია საკუთარი თავის ან/და ახლო ნათესავის წინააღმდეგ. ანტიკორუფციულმა ბიურომ გამოსაკითხ პირს ამ უფლებების შესახებ განმარტება გამოკითხვის დაწყებამდე უნდა მისცეს. ამ პუნქტის მიზნებისთვის </w:t>
      </w:r>
      <w:r w:rsidRPr="005015A5">
        <w:rPr>
          <w:rFonts w:ascii="Sylfaen" w:hAnsi="Sylfaen"/>
        </w:rPr>
        <w:lastRenderedPageBreak/>
        <w:t>გამოსაკითხი პირის ახლო ნათესავად მიიჩნევა მისი მშობელი, მშვილებელი, შვილი, მინდობით აღსაზრდელი, პაპა, ბებია, შვილიშვილი, და, ძმა, მეუღლე.</w:t>
      </w:r>
    </w:p>
    <w:p w14:paraId="5DC9F360" w14:textId="77777777" w:rsidR="005015A5" w:rsidRPr="005015A5" w:rsidRDefault="005015A5" w:rsidP="00760C5F">
      <w:pPr>
        <w:jc w:val="both"/>
        <w:rPr>
          <w:rFonts w:ascii="Sylfaen" w:hAnsi="Sylfaen"/>
        </w:rPr>
      </w:pPr>
      <w:r w:rsidRPr="005015A5">
        <w:rPr>
          <w:rFonts w:ascii="Sylfaen" w:hAnsi="Sylfaen"/>
        </w:rPr>
        <w:t>3. გამოკითხვის დაწყებამდე უნდა დადგინდეს გამოსაკითხი პირის ვინაობა და სხვა აუცილებელი ინფორმაცია. ეს ინფორმაცია გამოკითხვის ოქმში უნდა აღინიშნოს.</w:t>
      </w:r>
    </w:p>
    <w:p w14:paraId="0C44431B" w14:textId="77777777" w:rsidR="005015A5" w:rsidRPr="005015A5" w:rsidRDefault="005015A5" w:rsidP="00760C5F">
      <w:pPr>
        <w:jc w:val="both"/>
        <w:rPr>
          <w:rFonts w:ascii="Sylfaen" w:hAnsi="Sylfaen"/>
        </w:rPr>
      </w:pPr>
      <w:r w:rsidRPr="005015A5">
        <w:rPr>
          <w:rFonts w:ascii="Sylfaen" w:hAnsi="Sylfaen"/>
        </w:rPr>
        <w:t>4. ანტიკორუფციული ბიურო ვალდებულია გამოსაკითხ პირს განუმარტოს, რომ გამოკითხვა ნებაყოფლობითია. ამ განმარტების შესახებ გამოკითხვის ოქმში უნდა აღინიშნოს.</w:t>
      </w:r>
    </w:p>
    <w:p w14:paraId="72FB04A4" w14:textId="77777777" w:rsidR="005015A5" w:rsidRPr="005015A5" w:rsidRDefault="005015A5" w:rsidP="00760C5F">
      <w:pPr>
        <w:jc w:val="both"/>
        <w:rPr>
          <w:rFonts w:ascii="Sylfaen" w:hAnsi="Sylfaen"/>
        </w:rPr>
      </w:pPr>
      <w:r w:rsidRPr="005015A5">
        <w:rPr>
          <w:rFonts w:ascii="Sylfaen" w:hAnsi="Sylfaen"/>
        </w:rPr>
        <w:t>5. გამოსაკითხი პირი ვალდებულია გამოკითხვისას ანტიკორუფციულ ბიუროს სწორი ინფორმაცია მიაწოდოს.</w:t>
      </w:r>
    </w:p>
    <w:p w14:paraId="214B6E5E" w14:textId="77777777" w:rsidR="005015A5" w:rsidRPr="005015A5" w:rsidRDefault="005015A5" w:rsidP="00760C5F">
      <w:pPr>
        <w:jc w:val="both"/>
        <w:rPr>
          <w:rFonts w:ascii="Sylfaen" w:hAnsi="Sylfaen"/>
        </w:rPr>
      </w:pPr>
      <w:r w:rsidRPr="005015A5">
        <w:rPr>
          <w:rFonts w:ascii="Sylfaen" w:hAnsi="Sylfaen"/>
        </w:rPr>
        <w:t>6. ანტიკორუფციული ბიურო ვალდებულია გამოსაკითხი პირი წერილობით გააფრთხილოს ცრუ ინფორმაციის მიწოდებისთვის მოსალოდნელი პასუხისმგებლობის თაობაზე. გაფრთხილების შესახებ გამოკითხვის ოქმში უნდა აღინიშნოს.</w:t>
      </w:r>
    </w:p>
    <w:p w14:paraId="56B1B170" w14:textId="77777777" w:rsidR="005015A5" w:rsidRPr="005015A5" w:rsidRDefault="005015A5" w:rsidP="00760C5F">
      <w:pPr>
        <w:jc w:val="both"/>
        <w:rPr>
          <w:rFonts w:ascii="Sylfaen" w:hAnsi="Sylfaen"/>
        </w:rPr>
      </w:pPr>
      <w:r w:rsidRPr="005015A5">
        <w:rPr>
          <w:rFonts w:ascii="Sylfaen" w:hAnsi="Sylfaen"/>
        </w:rPr>
        <w:t>7. ანტიკორუფციული ბიურო ვალდებულია გამოსაკითხ პირს განუმარტოს, რომ შეიძლება იგი მაგისტრატ მოსამართლესთან დასაკითხად იქნეს დაბარებული.</w:t>
      </w:r>
    </w:p>
    <w:p w14:paraId="2E9A17C1" w14:textId="77777777" w:rsidR="005015A5" w:rsidRPr="005015A5" w:rsidRDefault="005015A5" w:rsidP="00760C5F">
      <w:pPr>
        <w:jc w:val="both"/>
        <w:rPr>
          <w:rFonts w:ascii="Sylfaen" w:hAnsi="Sylfaen"/>
        </w:rPr>
      </w:pPr>
      <w:r w:rsidRPr="005015A5">
        <w:rPr>
          <w:rFonts w:ascii="Sylfaen" w:hAnsi="Sylfaen"/>
        </w:rPr>
        <w:t>8. გამოკითხვისას დასაშვებია ხმის ან/და გამოსახულების ჩამწერი ტექნიკური საშუალების გამოყენება. გამოსაკითხ პირს მისი გამოყენების შესახებ წინასწარ უნდა ეცნობოს.</w:t>
      </w:r>
    </w:p>
    <w:p w14:paraId="6DB685DC" w14:textId="2E680FC4" w:rsidR="005015A5" w:rsidRDefault="005015A5" w:rsidP="00760C5F">
      <w:pPr>
        <w:jc w:val="both"/>
        <w:rPr>
          <w:rFonts w:ascii="Sylfaen" w:hAnsi="Sylfaen"/>
        </w:rPr>
      </w:pPr>
      <w:r w:rsidRPr="005015A5">
        <w:rPr>
          <w:rFonts w:ascii="Sylfaen" w:hAnsi="Sylfaen"/>
        </w:rPr>
        <w:t>9. გამოსაკითხი პირი შეიძლება დისტანციურად, ელექტრონული საშუალების გამოყენებით გამოიკითხოს.</w:t>
      </w:r>
    </w:p>
    <w:p w14:paraId="652859F2" w14:textId="77777777" w:rsidR="00EC6E1E" w:rsidRDefault="00EC6E1E" w:rsidP="00760C5F">
      <w:pPr>
        <w:jc w:val="both"/>
        <w:rPr>
          <w:rFonts w:ascii="Sylfaen" w:hAnsi="Sylfaen"/>
          <w:b/>
          <w:bCs/>
        </w:rPr>
      </w:pPr>
      <w:r w:rsidRPr="004C53EE">
        <w:rPr>
          <w:rFonts w:ascii="Sylfaen" w:hAnsi="Sylfaen"/>
          <w:b/>
          <w:bCs/>
        </w:rPr>
        <w:t>6</w:t>
      </w:r>
      <w:r>
        <w:rPr>
          <w:rFonts w:ascii="Sylfaen" w:hAnsi="Sylfaen"/>
          <w:b/>
          <w:bCs/>
          <w:vertAlign w:val="superscript"/>
        </w:rPr>
        <w:t>3</w:t>
      </w:r>
      <w:r w:rsidRPr="004C53EE">
        <w:rPr>
          <w:rFonts w:ascii="Sylfaen" w:hAnsi="Sylfaen"/>
          <w:b/>
          <w:bCs/>
        </w:rPr>
        <w:t>.</w:t>
      </w:r>
      <w:r>
        <w:rPr>
          <w:rFonts w:ascii="Sylfaen" w:hAnsi="Sylfaen"/>
          <w:b/>
          <w:bCs/>
        </w:rPr>
        <w:t xml:space="preserve"> </w:t>
      </w:r>
      <w:r w:rsidRPr="004C53EE">
        <w:rPr>
          <w:rFonts w:ascii="Sylfaen" w:hAnsi="Sylfaen"/>
          <w:b/>
          <w:bCs/>
        </w:rPr>
        <w:t>აკრძალული გრანტის მიღებ</w:t>
      </w:r>
      <w:r>
        <w:rPr>
          <w:rFonts w:ascii="Sylfaen" w:hAnsi="Sylfaen"/>
          <w:b/>
          <w:bCs/>
        </w:rPr>
        <w:t>ასთან დაკავშირებული პასუხისმგებლობის დაკისრების წესი</w:t>
      </w:r>
    </w:p>
    <w:p w14:paraId="580F7500" w14:textId="77777777" w:rsidR="00EC6E1E" w:rsidRPr="005F7D0C" w:rsidRDefault="00EC6E1E" w:rsidP="00760C5F">
      <w:pPr>
        <w:jc w:val="both"/>
        <w:rPr>
          <w:rFonts w:ascii="Sylfaen" w:hAnsi="Sylfaen"/>
        </w:rPr>
      </w:pPr>
      <w:r w:rsidRPr="005F7D0C">
        <w:rPr>
          <w:rFonts w:ascii="Sylfaen" w:hAnsi="Sylfaen"/>
        </w:rPr>
        <w:t>1</w:t>
      </w:r>
      <w:r>
        <w:rPr>
          <w:rFonts w:ascii="Sylfaen" w:hAnsi="Sylfaen"/>
        </w:rPr>
        <w:t xml:space="preserve">. </w:t>
      </w:r>
      <w:r w:rsidRPr="005F7D0C">
        <w:rPr>
          <w:rFonts w:ascii="Sylfaen" w:hAnsi="Sylfaen"/>
        </w:rPr>
        <w:t xml:space="preserve">ამ </w:t>
      </w:r>
      <w:r>
        <w:rPr>
          <w:rFonts w:ascii="Sylfaen" w:hAnsi="Sylfaen"/>
        </w:rPr>
        <w:t>კანონით</w:t>
      </w:r>
      <w:r w:rsidRPr="005F7D0C">
        <w:rPr>
          <w:rFonts w:ascii="Sylfaen" w:hAnsi="Sylfaen"/>
        </w:rPr>
        <w:t xml:space="preserve"> გათვალისწინებულ ადმინისტრაციულ სამართალდარღვევასთან დაკავშირებით ანტიკორუფციული ბიუროს უფლებამოსილი პირი ადგენს ადმინისტრაციული სამართალდარღვევის ოქმს, რომელიც დაუყოვნებლივ ეგზავნება განსახილველად რაიონულ (საქალაქო) სასამართლოს.</w:t>
      </w:r>
    </w:p>
    <w:p w14:paraId="640863E7" w14:textId="77777777" w:rsidR="00EC6E1E" w:rsidRPr="005F7D0C" w:rsidRDefault="00EC6E1E" w:rsidP="00760C5F">
      <w:pPr>
        <w:jc w:val="both"/>
        <w:rPr>
          <w:rFonts w:ascii="Sylfaen" w:hAnsi="Sylfaen"/>
        </w:rPr>
      </w:pPr>
      <w:r w:rsidRPr="005F7D0C">
        <w:rPr>
          <w:rFonts w:ascii="Sylfaen" w:hAnsi="Sylfaen"/>
        </w:rPr>
        <w:t>2. თუ არსებობს გარემოება, რომელმაც შესაძლებელია დააბრკოლოს ადმინისტრაციული სამართალდარღვევისთვის კანონით გათვალისწინებული სახდელის აღსრულება, ანტიკორუფციული ბიურო უფლებამოსილია ადმინისტრაციული სამართალდარღვევის ოქმის შედგენასთან ერთად სამართალდამრღვევის ქონებას (მათ შორის, საბანკო ანგარიშებს) დაადოს ყადაღა შესაბამისი სამართალდარღვევისთვის გათვალისწინებული სანქციის პროპორციულად. ყადაღა დაუყოვნებლივ ამოქმედდება და ადმინისტრაციული სამართალდარღვევის ოქმთან ერთად დასადასტურებლად წარედგინება სასამართლოს.</w:t>
      </w:r>
    </w:p>
    <w:p w14:paraId="30ED8C21" w14:textId="77777777" w:rsidR="00EC6E1E" w:rsidRPr="005F7D0C" w:rsidRDefault="00EC6E1E" w:rsidP="00760C5F">
      <w:pPr>
        <w:jc w:val="both"/>
        <w:rPr>
          <w:rFonts w:ascii="Sylfaen" w:hAnsi="Sylfaen"/>
        </w:rPr>
      </w:pPr>
      <w:r w:rsidRPr="005F7D0C">
        <w:rPr>
          <w:rFonts w:ascii="Sylfaen" w:hAnsi="Sylfaen"/>
        </w:rPr>
        <w:t xml:space="preserve">3. სასამართლო ამ მუხლის </w:t>
      </w:r>
      <w:r>
        <w:rPr>
          <w:rFonts w:ascii="Sylfaen" w:hAnsi="Sylfaen"/>
        </w:rPr>
        <w:t>პირველი</w:t>
      </w:r>
      <w:r w:rsidRPr="005F7D0C">
        <w:rPr>
          <w:rFonts w:ascii="Sylfaen" w:hAnsi="Sylfaen"/>
        </w:rPr>
        <w:t xml:space="preserve"> პუნქტით გათვალისწინებული ადმინისტრაციული სამართალდარღვევის ოქმის დადასტურების საკითხს განიხილავს და მის თაობაზე გადაწყვეტილებას იღებს მასალების მიღებიდან 15 დღის ვადაში. სასამართლოს გადაწყვეტილება ერთჯერადად საჩივრდება სააპელაციო სასამართლოში გადაწყვეტილების ჩაბარებიდან 10 დღის ვადაში. სააპელაციო სასამართლო გადაწყვეტილებას იღებს საჩივრის წარდგენიდან არაუგვიანეს 15 დღისა. ეს გადაწყვეტილება საბოლოოა და გასაჩივრებას არ ექვემდებარება.</w:t>
      </w:r>
    </w:p>
    <w:p w14:paraId="2425A774" w14:textId="77777777" w:rsidR="00EC6E1E" w:rsidRPr="005F7D0C" w:rsidRDefault="00EC6E1E" w:rsidP="00760C5F">
      <w:pPr>
        <w:jc w:val="both"/>
        <w:rPr>
          <w:rFonts w:ascii="Sylfaen" w:hAnsi="Sylfaen"/>
        </w:rPr>
      </w:pPr>
      <w:r w:rsidRPr="005F7D0C">
        <w:rPr>
          <w:rFonts w:ascii="Sylfaen" w:hAnsi="Sylfaen"/>
        </w:rPr>
        <w:lastRenderedPageBreak/>
        <w:t xml:space="preserve">4. წინასაარჩევნო პერიოდში სასამართლო ამ მუხლის </w:t>
      </w:r>
      <w:r>
        <w:rPr>
          <w:rFonts w:ascii="Sylfaen" w:hAnsi="Sylfaen"/>
        </w:rPr>
        <w:t>პირველი</w:t>
      </w:r>
      <w:r w:rsidRPr="005F7D0C">
        <w:rPr>
          <w:rFonts w:ascii="Sylfaen" w:hAnsi="Sylfaen"/>
        </w:rPr>
        <w:t xml:space="preserve"> პუნქტით გათვალისწინებული ადმინისტრაციული სამართალდარღვევის ოქმის დადასტურების საკითხს განიხილავს და მის თაობაზე გადაწყვეტილებას იღებს მასალების წარდგენიდან 5 კალენდარული დღის ვადაში. სასამართლოს გადაწყვეტილება ერთჯერადად საჩივრდება სააპელაციო სასამართლოში გადაწყვეტილების ჩაბარებიდან 72 საათის განმავლობაში. ეს გადაწყვეტილება საბოლოოა და გასაჩივრებას არ ექვემდებარება. სასამართლო ვალდებულია დასაბუთებული გადაწყვეტილება და საქმის მასალები მხარეს გადასცეს გადაწყვეტილების მიღების მომდევნო დღის არაუგვიანეს 12 საათისა.</w:t>
      </w:r>
    </w:p>
    <w:p w14:paraId="5395E255" w14:textId="77777777" w:rsidR="00EC6E1E" w:rsidRDefault="00EC6E1E" w:rsidP="00760C5F">
      <w:pPr>
        <w:jc w:val="both"/>
        <w:rPr>
          <w:rFonts w:ascii="Sylfaen" w:hAnsi="Sylfaen"/>
        </w:rPr>
      </w:pPr>
      <w:r w:rsidRPr="005F7D0C">
        <w:rPr>
          <w:rFonts w:ascii="Sylfaen" w:hAnsi="Sylfaen"/>
        </w:rPr>
        <w:t>5. სასამართლო ამ მუხლის მე-2 პუნქტით გათვალისწინებულ ადმინისტრაციულ სამართალდარღვევასთან დაკავშირებით ყადაღის დადების საკითხს განიხილავს და მის თაობაზე გადაწყვეტილებას იღებს მასალების წარდგენიდან არაუგვიანეს 48 საათისა. სასამართლოს გადაწყვეტილება ერთჯერადად საჩივრდება სააპელაციო სასამართლოში გადაწყვეტილების ჩაბარებიდან 48 საათის განმავლობაში. გასაჩივრება არ აჩერებს ყადაღის მოქმედებას. სააპელაციო სასამართლო გადაწყვეტილებას იღებს საჩივრის წარდგენიდან არაუგვიანეს 48 საათისა. ეს გადაწყვეტილება საბოლოოა და გასაჩივრებას არ ექვემდებარება. სასამართლო ვალდებულია დასაბუთებული გადაწყვეტილება და საქმის მასალები მხარეს გადასცეს გადაწყვეტილების მიღების მომდევნო დღის არაუგვიანეს 12 საათისა.</w:t>
      </w:r>
    </w:p>
    <w:p w14:paraId="773FC9A9" w14:textId="3818C4E0" w:rsidR="00EC6E1E" w:rsidRDefault="00EC6E1E" w:rsidP="00760C5F">
      <w:pPr>
        <w:jc w:val="both"/>
        <w:rPr>
          <w:rFonts w:ascii="Sylfaen" w:hAnsi="Sylfaen"/>
        </w:rPr>
      </w:pPr>
      <w:r>
        <w:rPr>
          <w:rFonts w:ascii="Sylfaen" w:hAnsi="Sylfaen"/>
        </w:rPr>
        <w:t>6</w:t>
      </w:r>
      <w:r w:rsidRPr="009B4CF6">
        <w:rPr>
          <w:rFonts w:ascii="Sylfaen" w:hAnsi="Sylfaen"/>
        </w:rPr>
        <w:t>. ამ მუხლით გათვალისწინებული პასუხისმგებლობა სამართალდამრღვევს შეიძლება დაეკისროს შესაბამისი ქმედების ჩადენიდან 6 წლის განმავლობაში.</w:t>
      </w:r>
    </w:p>
    <w:p w14:paraId="4C053164" w14:textId="68E163A3" w:rsidR="00FB09DB" w:rsidRDefault="00FB09DB" w:rsidP="00760C5F">
      <w:pPr>
        <w:jc w:val="both"/>
        <w:rPr>
          <w:rFonts w:ascii="Sylfaen" w:hAnsi="Sylfaen"/>
          <w:b/>
          <w:bCs/>
        </w:rPr>
      </w:pPr>
      <w:r w:rsidRPr="004C53EE">
        <w:rPr>
          <w:rFonts w:ascii="Sylfaen" w:hAnsi="Sylfaen"/>
          <w:b/>
          <w:bCs/>
        </w:rPr>
        <w:t>6</w:t>
      </w:r>
      <w:r w:rsidR="00EC6E1E">
        <w:rPr>
          <w:rFonts w:ascii="Sylfaen" w:hAnsi="Sylfaen"/>
          <w:b/>
          <w:bCs/>
          <w:vertAlign w:val="superscript"/>
        </w:rPr>
        <w:t>4</w:t>
      </w:r>
      <w:r w:rsidRPr="004C53EE">
        <w:rPr>
          <w:rFonts w:ascii="Sylfaen" w:hAnsi="Sylfaen"/>
          <w:b/>
          <w:bCs/>
        </w:rPr>
        <w:t xml:space="preserve">. </w:t>
      </w:r>
      <w:r>
        <w:rPr>
          <w:rFonts w:ascii="Sylfaen" w:hAnsi="Sylfaen"/>
          <w:b/>
          <w:bCs/>
        </w:rPr>
        <w:t xml:space="preserve">პასუხისმგებლობა </w:t>
      </w:r>
      <w:r w:rsidRPr="004C53EE">
        <w:rPr>
          <w:rFonts w:ascii="Sylfaen" w:hAnsi="Sylfaen"/>
          <w:b/>
          <w:bCs/>
        </w:rPr>
        <w:t>აკრძალული გრანტის მიღებ</w:t>
      </w:r>
      <w:r>
        <w:rPr>
          <w:rFonts w:ascii="Sylfaen" w:hAnsi="Sylfaen"/>
          <w:b/>
          <w:bCs/>
        </w:rPr>
        <w:t>ასთან დაკავშირებით</w:t>
      </w:r>
    </w:p>
    <w:p w14:paraId="7E449F7E" w14:textId="65D472E0" w:rsidR="00FB09DB" w:rsidRDefault="00FB09DB" w:rsidP="00760C5F">
      <w:pPr>
        <w:jc w:val="both"/>
        <w:rPr>
          <w:rFonts w:ascii="Sylfaen" w:hAnsi="Sylfaen"/>
        </w:rPr>
      </w:pPr>
      <w:r w:rsidRPr="00F6706C">
        <w:rPr>
          <w:rFonts w:ascii="Sylfaen" w:hAnsi="Sylfaen"/>
        </w:rPr>
        <w:t>1.</w:t>
      </w:r>
      <w:r>
        <w:rPr>
          <w:rFonts w:ascii="Sylfaen" w:hAnsi="Sylfaen"/>
          <w:b/>
          <w:bCs/>
        </w:rPr>
        <w:t xml:space="preserve"> </w:t>
      </w:r>
      <w:r w:rsidRPr="00F6706C">
        <w:rPr>
          <w:rFonts w:ascii="Sylfaen" w:hAnsi="Sylfaen"/>
        </w:rPr>
        <w:t>აკრძალული გრანტის მიღება გამოიწვევს გრანტის მიმღების დაჯარიმებას აღნიშნული გრანტის ორმაგი ოდენობით.</w:t>
      </w:r>
    </w:p>
    <w:p w14:paraId="29A7A0A2" w14:textId="77777777" w:rsidR="00FB09DB" w:rsidRPr="00EF63F8" w:rsidRDefault="00FB09DB" w:rsidP="00760C5F">
      <w:pPr>
        <w:jc w:val="both"/>
        <w:rPr>
          <w:rFonts w:ascii="Sylfaen" w:hAnsi="Sylfaen"/>
        </w:rPr>
      </w:pPr>
      <w:r>
        <w:rPr>
          <w:rFonts w:ascii="Sylfaen" w:hAnsi="Sylfaen"/>
        </w:rPr>
        <w:t xml:space="preserve">2. </w:t>
      </w:r>
      <w:r w:rsidRPr="00EF63F8">
        <w:rPr>
          <w:rFonts w:ascii="Sylfaen" w:hAnsi="Sylfaen"/>
        </w:rPr>
        <w:t>ანტიკორუფციული ბიუროს მიერ ფიზიკური პირის გამოკითხვისას ან ანტიკორუფციული ბიუროს შუამდგომლობის საფუძველზე ფიზიკური პირის მაგისტრატი მოსამართლის წინაშე დაკითხვისას აღნიშნული პირის მიერ ცრუ ინფორმაციის მიწოდება −</w:t>
      </w:r>
    </w:p>
    <w:p w14:paraId="1ECA2412" w14:textId="77777777" w:rsidR="00FB09DB" w:rsidRPr="00EF63F8" w:rsidRDefault="00FB09DB" w:rsidP="00760C5F">
      <w:pPr>
        <w:jc w:val="both"/>
        <w:rPr>
          <w:rFonts w:ascii="Sylfaen" w:hAnsi="Sylfaen"/>
        </w:rPr>
      </w:pPr>
      <w:r w:rsidRPr="00EF63F8">
        <w:rPr>
          <w:rFonts w:ascii="Sylfaen" w:hAnsi="Sylfaen"/>
        </w:rPr>
        <w:t>გამოიწვევს დაჯარიმებას 2 000 ლარით.</w:t>
      </w:r>
    </w:p>
    <w:p w14:paraId="4BD68960" w14:textId="77777777" w:rsidR="00FB09DB" w:rsidRPr="009B4CF6" w:rsidRDefault="00FB09DB" w:rsidP="00760C5F">
      <w:pPr>
        <w:jc w:val="both"/>
        <w:rPr>
          <w:rFonts w:ascii="Sylfaen" w:hAnsi="Sylfaen"/>
        </w:rPr>
      </w:pPr>
      <w:r>
        <w:rPr>
          <w:rFonts w:ascii="Sylfaen" w:hAnsi="Sylfaen"/>
        </w:rPr>
        <w:t xml:space="preserve">3. </w:t>
      </w:r>
      <w:r w:rsidRPr="009B4CF6">
        <w:rPr>
          <w:rFonts w:ascii="Sylfaen" w:hAnsi="Sylfaen"/>
        </w:rPr>
        <w:t>ამ მუხლის პირველი</w:t>
      </w:r>
      <w:r>
        <w:rPr>
          <w:rFonts w:ascii="Sylfaen" w:hAnsi="Sylfaen"/>
        </w:rPr>
        <w:t xml:space="preserve"> ან </w:t>
      </w:r>
      <w:r w:rsidRPr="009B4CF6">
        <w:rPr>
          <w:rFonts w:ascii="Sylfaen" w:hAnsi="Sylfaen"/>
        </w:rPr>
        <w:t>მე-</w:t>
      </w:r>
      <w:r>
        <w:rPr>
          <w:rFonts w:ascii="Sylfaen" w:hAnsi="Sylfaen"/>
        </w:rPr>
        <w:t>2</w:t>
      </w:r>
      <w:r w:rsidRPr="009B4CF6">
        <w:rPr>
          <w:rFonts w:ascii="Sylfaen" w:hAnsi="Sylfaen"/>
        </w:rPr>
        <w:t xml:space="preserve"> პუნქტებით გათვალისწინებული ქმედების განმეორებით ჩადენა −</w:t>
      </w:r>
    </w:p>
    <w:p w14:paraId="0061029E" w14:textId="77777777" w:rsidR="00FB09DB" w:rsidRPr="009B4CF6" w:rsidRDefault="00FB09DB" w:rsidP="00760C5F">
      <w:pPr>
        <w:jc w:val="both"/>
        <w:rPr>
          <w:rFonts w:ascii="Sylfaen" w:hAnsi="Sylfaen"/>
        </w:rPr>
      </w:pPr>
      <w:r w:rsidRPr="009B4CF6">
        <w:rPr>
          <w:rFonts w:ascii="Sylfaen" w:hAnsi="Sylfaen"/>
        </w:rPr>
        <w:t>გამოიწვევს დაჯარიმებას ამ მუხლის შესაბამისი პუნქტით დადგენილი ჯარიმის ორმაგი ოდენობით.</w:t>
      </w:r>
    </w:p>
    <w:p w14:paraId="5BD45555" w14:textId="36AA62E3" w:rsidR="00830732" w:rsidRPr="00DA7348" w:rsidRDefault="00DA7348" w:rsidP="00760C5F">
      <w:pPr>
        <w:jc w:val="both"/>
        <w:rPr>
          <w:rFonts w:ascii="Sylfaen" w:hAnsi="Sylfaen"/>
        </w:rPr>
      </w:pPr>
      <w:r w:rsidRPr="00DA7348">
        <w:rPr>
          <w:rFonts w:ascii="Sylfaen" w:hAnsi="Sylfaen"/>
          <w:b/>
          <w:bCs/>
        </w:rPr>
        <w:t>მუხლი 2.</w:t>
      </w:r>
      <w:r>
        <w:rPr>
          <w:rFonts w:ascii="Sylfaen" w:hAnsi="Sylfaen"/>
        </w:rPr>
        <w:t xml:space="preserve"> „გრანტების შესახებ“ საქართველოს კანონის 5</w:t>
      </w:r>
      <w:r>
        <w:rPr>
          <w:rFonts w:ascii="Sylfaen" w:hAnsi="Sylfaen"/>
          <w:vertAlign w:val="superscript"/>
        </w:rPr>
        <w:t>1</w:t>
      </w:r>
      <w:r>
        <w:rPr>
          <w:rFonts w:ascii="Sylfaen" w:hAnsi="Sylfaen"/>
        </w:rPr>
        <w:t xml:space="preserve"> მუხლით გათვალისწინებული თანხმობის მოთხოვნა არ ვრცელდება ამ კანონის ამოქმედებამდე გაცემულ და მიღებულ გრანტებზე.</w:t>
      </w:r>
    </w:p>
    <w:p w14:paraId="11FBDF71" w14:textId="017F1ED6" w:rsidR="00DA7348" w:rsidRDefault="00DA7348" w:rsidP="00760C5F">
      <w:pPr>
        <w:jc w:val="both"/>
        <w:rPr>
          <w:rFonts w:ascii="Sylfaen" w:hAnsi="Sylfaen"/>
        </w:rPr>
      </w:pPr>
      <w:r w:rsidRPr="00DA7348">
        <w:rPr>
          <w:rFonts w:ascii="Sylfaen" w:hAnsi="Sylfaen"/>
          <w:b/>
          <w:bCs/>
        </w:rPr>
        <w:t>მუხლი 3.</w:t>
      </w:r>
      <w:r>
        <w:rPr>
          <w:rFonts w:ascii="Sylfaen" w:hAnsi="Sylfaen"/>
        </w:rPr>
        <w:t xml:space="preserve"> </w:t>
      </w:r>
      <w:r w:rsidRPr="00DA7348">
        <w:rPr>
          <w:rFonts w:ascii="Sylfaen" w:hAnsi="Sylfaen"/>
        </w:rPr>
        <w:t>ეს კანონი ამოქმედდეს გამოქვეყნებისთანავე.</w:t>
      </w:r>
    </w:p>
    <w:p w14:paraId="04CEB111" w14:textId="77777777" w:rsidR="00B67C79" w:rsidRDefault="00B67C79" w:rsidP="00760C5F">
      <w:pPr>
        <w:jc w:val="both"/>
        <w:rPr>
          <w:rFonts w:ascii="Sylfaen" w:hAnsi="Sylfaen"/>
        </w:rPr>
      </w:pPr>
    </w:p>
    <w:p w14:paraId="3338DB2C" w14:textId="07F76D16" w:rsidR="00423109" w:rsidRPr="00A55521" w:rsidRDefault="00DA7348" w:rsidP="00760C5F">
      <w:pPr>
        <w:jc w:val="both"/>
        <w:rPr>
          <w:rFonts w:ascii="Sylfaen" w:hAnsi="Sylfaen"/>
        </w:rPr>
      </w:pPr>
      <w:r>
        <w:rPr>
          <w:rFonts w:ascii="Sylfaen" w:hAnsi="Sylfaen"/>
        </w:rPr>
        <w:t xml:space="preserve">საქართველოს პრეზიდენტი </w:t>
      </w:r>
      <w:r>
        <w:rPr>
          <w:rFonts w:ascii="Sylfaen" w:hAnsi="Sylfaen"/>
        </w:rPr>
        <w:tab/>
      </w:r>
      <w:r>
        <w:rPr>
          <w:rFonts w:ascii="Sylfaen" w:hAnsi="Sylfaen"/>
        </w:rPr>
        <w:tab/>
      </w:r>
      <w:r>
        <w:rPr>
          <w:rFonts w:ascii="Sylfaen" w:hAnsi="Sylfaen"/>
        </w:rPr>
        <w:tab/>
      </w:r>
      <w:r>
        <w:rPr>
          <w:rFonts w:ascii="Sylfaen" w:hAnsi="Sylfaen"/>
        </w:rPr>
        <w:tab/>
      </w:r>
      <w:r w:rsidR="00B67C79">
        <w:rPr>
          <w:rFonts w:ascii="Sylfaen" w:hAnsi="Sylfaen"/>
          <w:lang w:val="en-US"/>
        </w:rPr>
        <w:t xml:space="preserve">                               </w:t>
      </w:r>
      <w:r>
        <w:rPr>
          <w:rFonts w:ascii="Sylfaen" w:hAnsi="Sylfaen"/>
        </w:rPr>
        <w:t>მიხეილ ყაველაშვილი</w:t>
      </w:r>
      <w:bookmarkStart w:id="0" w:name="_GoBack"/>
      <w:bookmarkEnd w:id="0"/>
    </w:p>
    <w:sectPr w:rsidR="00423109" w:rsidRPr="00A55521" w:rsidSect="00A64D98">
      <w:pgSz w:w="11907" w:h="16840" w:code="9"/>
      <w:pgMar w:top="1440" w:right="1440" w:bottom="1440" w:left="1440"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lfaen">
    <w:panose1 w:val="010A0502050306030303"/>
    <w:charset w:val="CC"/>
    <w:family w:val="roman"/>
    <w:pitch w:val="variable"/>
    <w:sig w:usb0="04000687" w:usb1="00000000" w:usb2="00000000" w:usb3="00000000" w:csb0="0000009F" w:csb1="00000000"/>
  </w:font>
  <w:font w:name="Aptos">
    <w:altName w:val="Arial"/>
    <w:charset w:val="00"/>
    <w:family w:val="swiss"/>
    <w:pitch w:val="variable"/>
    <w:sig w:usb0="20000287" w:usb1="00000003" w:usb2="00000000" w:usb3="00000000" w:csb0="0000019F" w:csb1="00000000"/>
  </w:font>
  <w:font w:name="Arial">
    <w:panose1 w:val="020B0604020202020204"/>
    <w:charset w:val="CC"/>
    <w:family w:val="swiss"/>
    <w:pitch w:val="variable"/>
    <w:sig w:usb0="E0002EFF" w:usb1="C000785B" w:usb2="00000009" w:usb3="00000000" w:csb0="000001FF" w:csb1="00000000"/>
  </w:font>
  <w:font w:name="Aptos Display">
    <w:altName w:val="Arial"/>
    <w:charset w:val="00"/>
    <w:family w:val="swiss"/>
    <w:pitch w:val="variable"/>
    <w:sig w:usb0="20000287" w:usb1="00000003" w:usb2="00000000" w:usb3="00000000" w:csb0="0000019F" w:csb1="00000000"/>
  </w:font>
  <w:font w:name="Segoe UI">
    <w:panose1 w:val="020B0502040204020203"/>
    <w:charset w:val="CC"/>
    <w:family w:val="swiss"/>
    <w:pitch w:val="variable"/>
    <w:sig w:usb0="E4002EFF" w:usb1="C000E47F"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77E763E"/>
    <w:multiLevelType w:val="hybridMultilevel"/>
    <w:tmpl w:val="17C8CF76"/>
    <w:lvl w:ilvl="0" w:tplc="70DE6D44">
      <w:start w:val="1"/>
      <w:numFmt w:val="bullet"/>
      <w:lvlText w:val=""/>
      <w:lvlJc w:val="left"/>
      <w:pPr>
        <w:ind w:left="-1440" w:hanging="360"/>
      </w:pPr>
      <w:rPr>
        <w:rFonts w:ascii="Symbol" w:hAnsi="Symbol" w:hint="default"/>
      </w:rPr>
    </w:lvl>
    <w:lvl w:ilvl="1" w:tplc="04090003" w:tentative="1">
      <w:start w:val="1"/>
      <w:numFmt w:val="bullet"/>
      <w:lvlText w:val="o"/>
      <w:lvlJc w:val="left"/>
      <w:pPr>
        <w:ind w:left="-720" w:hanging="360"/>
      </w:pPr>
      <w:rPr>
        <w:rFonts w:ascii="Courier New" w:hAnsi="Courier New" w:cs="Courier New" w:hint="default"/>
      </w:rPr>
    </w:lvl>
    <w:lvl w:ilvl="2" w:tplc="04090005" w:tentative="1">
      <w:start w:val="1"/>
      <w:numFmt w:val="bullet"/>
      <w:lvlText w:val=""/>
      <w:lvlJc w:val="left"/>
      <w:pPr>
        <w:ind w:left="0" w:hanging="360"/>
      </w:pPr>
      <w:rPr>
        <w:rFonts w:ascii="Wingdings" w:hAnsi="Wingdings" w:hint="default"/>
      </w:rPr>
    </w:lvl>
    <w:lvl w:ilvl="3" w:tplc="04090001" w:tentative="1">
      <w:start w:val="1"/>
      <w:numFmt w:val="bullet"/>
      <w:lvlText w:val=""/>
      <w:lvlJc w:val="left"/>
      <w:pPr>
        <w:ind w:left="720" w:hanging="360"/>
      </w:pPr>
      <w:rPr>
        <w:rFonts w:ascii="Symbol" w:hAnsi="Symbol" w:hint="default"/>
      </w:rPr>
    </w:lvl>
    <w:lvl w:ilvl="4" w:tplc="04090003" w:tentative="1">
      <w:start w:val="1"/>
      <w:numFmt w:val="bullet"/>
      <w:lvlText w:val="o"/>
      <w:lvlJc w:val="left"/>
      <w:pPr>
        <w:ind w:left="1440" w:hanging="360"/>
      </w:pPr>
      <w:rPr>
        <w:rFonts w:ascii="Courier New" w:hAnsi="Courier New" w:cs="Courier New" w:hint="default"/>
      </w:rPr>
    </w:lvl>
    <w:lvl w:ilvl="5" w:tplc="04090005" w:tentative="1">
      <w:start w:val="1"/>
      <w:numFmt w:val="bullet"/>
      <w:lvlText w:val=""/>
      <w:lvlJc w:val="left"/>
      <w:pPr>
        <w:ind w:left="2160" w:hanging="360"/>
      </w:pPr>
      <w:rPr>
        <w:rFonts w:ascii="Wingdings" w:hAnsi="Wingdings" w:hint="default"/>
      </w:rPr>
    </w:lvl>
    <w:lvl w:ilvl="6" w:tplc="04090001" w:tentative="1">
      <w:start w:val="1"/>
      <w:numFmt w:val="bullet"/>
      <w:lvlText w:val=""/>
      <w:lvlJc w:val="left"/>
      <w:pPr>
        <w:ind w:left="2880" w:hanging="360"/>
      </w:pPr>
      <w:rPr>
        <w:rFonts w:ascii="Symbol" w:hAnsi="Symbol" w:hint="default"/>
      </w:rPr>
    </w:lvl>
    <w:lvl w:ilvl="7" w:tplc="04090003" w:tentative="1">
      <w:start w:val="1"/>
      <w:numFmt w:val="bullet"/>
      <w:lvlText w:val="o"/>
      <w:lvlJc w:val="left"/>
      <w:pPr>
        <w:ind w:left="3600" w:hanging="360"/>
      </w:pPr>
      <w:rPr>
        <w:rFonts w:ascii="Courier New" w:hAnsi="Courier New" w:cs="Courier New" w:hint="default"/>
      </w:rPr>
    </w:lvl>
    <w:lvl w:ilvl="8" w:tplc="04090005" w:tentative="1">
      <w:start w:val="1"/>
      <w:numFmt w:val="bullet"/>
      <w:lvlText w:val=""/>
      <w:lvlJc w:val="left"/>
      <w:pPr>
        <w:ind w:left="4320" w:hanging="360"/>
      </w:pPr>
      <w:rPr>
        <w:rFonts w:ascii="Wingdings" w:hAnsi="Wingdings" w:hint="default"/>
      </w:rPr>
    </w:lvl>
  </w:abstractNum>
  <w:abstractNum w:abstractNumId="1" w15:restartNumberingAfterBreak="0">
    <w:nsid w:val="1B1B034C"/>
    <w:multiLevelType w:val="hybridMultilevel"/>
    <w:tmpl w:val="6988EF7A"/>
    <w:lvl w:ilvl="0" w:tplc="70DE6D44">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 w15:restartNumberingAfterBreak="0">
    <w:nsid w:val="22D1730B"/>
    <w:multiLevelType w:val="hybridMultilevel"/>
    <w:tmpl w:val="909661F4"/>
    <w:lvl w:ilvl="0" w:tplc="4C40A0D4">
      <w:numFmt w:val="bullet"/>
      <w:lvlText w:val="-"/>
      <w:lvlJc w:val="left"/>
      <w:pPr>
        <w:ind w:left="360" w:hanging="360"/>
      </w:pPr>
      <w:rPr>
        <w:rFonts w:ascii="Sylfaen" w:eastAsiaTheme="minorHAnsi" w:hAnsi="Sylfaen"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40DE47C4"/>
    <w:multiLevelType w:val="hybridMultilevel"/>
    <w:tmpl w:val="0616F224"/>
    <w:lvl w:ilvl="0" w:tplc="04090001">
      <w:start w:val="1"/>
      <w:numFmt w:val="bullet"/>
      <w:lvlText w:val=""/>
      <w:lvlJc w:val="left"/>
      <w:pPr>
        <w:ind w:left="540" w:hanging="360"/>
      </w:pPr>
      <w:rPr>
        <w:rFonts w:ascii="Symbol" w:hAnsi="Symbol" w:hint="default"/>
      </w:rPr>
    </w:lvl>
    <w:lvl w:ilvl="1" w:tplc="04090003" w:tentative="1">
      <w:start w:val="1"/>
      <w:numFmt w:val="bullet"/>
      <w:lvlText w:val="o"/>
      <w:lvlJc w:val="left"/>
      <w:pPr>
        <w:ind w:left="1350" w:hanging="360"/>
      </w:pPr>
      <w:rPr>
        <w:rFonts w:ascii="Courier New" w:hAnsi="Courier New" w:cs="Courier New" w:hint="default"/>
      </w:rPr>
    </w:lvl>
    <w:lvl w:ilvl="2" w:tplc="04090005" w:tentative="1">
      <w:start w:val="1"/>
      <w:numFmt w:val="bullet"/>
      <w:lvlText w:val=""/>
      <w:lvlJc w:val="left"/>
      <w:pPr>
        <w:ind w:left="2070" w:hanging="360"/>
      </w:pPr>
      <w:rPr>
        <w:rFonts w:ascii="Wingdings" w:hAnsi="Wingdings" w:hint="default"/>
      </w:rPr>
    </w:lvl>
    <w:lvl w:ilvl="3" w:tplc="04090001">
      <w:start w:val="1"/>
      <w:numFmt w:val="bullet"/>
      <w:lvlText w:val=""/>
      <w:lvlJc w:val="left"/>
      <w:pPr>
        <w:ind w:left="540" w:hanging="360"/>
      </w:pPr>
      <w:rPr>
        <w:rFonts w:ascii="Symbol" w:hAnsi="Symbol" w:hint="default"/>
      </w:rPr>
    </w:lvl>
    <w:lvl w:ilvl="4" w:tplc="04090003" w:tentative="1">
      <w:start w:val="1"/>
      <w:numFmt w:val="bullet"/>
      <w:lvlText w:val="o"/>
      <w:lvlJc w:val="left"/>
      <w:pPr>
        <w:ind w:left="3510" w:hanging="360"/>
      </w:pPr>
      <w:rPr>
        <w:rFonts w:ascii="Courier New" w:hAnsi="Courier New" w:cs="Courier New" w:hint="default"/>
      </w:rPr>
    </w:lvl>
    <w:lvl w:ilvl="5" w:tplc="04090005" w:tentative="1">
      <w:start w:val="1"/>
      <w:numFmt w:val="bullet"/>
      <w:lvlText w:val=""/>
      <w:lvlJc w:val="left"/>
      <w:pPr>
        <w:ind w:left="4230" w:hanging="360"/>
      </w:pPr>
      <w:rPr>
        <w:rFonts w:ascii="Wingdings" w:hAnsi="Wingdings" w:hint="default"/>
      </w:rPr>
    </w:lvl>
    <w:lvl w:ilvl="6" w:tplc="04090001" w:tentative="1">
      <w:start w:val="1"/>
      <w:numFmt w:val="bullet"/>
      <w:lvlText w:val=""/>
      <w:lvlJc w:val="left"/>
      <w:pPr>
        <w:ind w:left="4950" w:hanging="360"/>
      </w:pPr>
      <w:rPr>
        <w:rFonts w:ascii="Symbol" w:hAnsi="Symbol" w:hint="default"/>
      </w:rPr>
    </w:lvl>
    <w:lvl w:ilvl="7" w:tplc="04090003" w:tentative="1">
      <w:start w:val="1"/>
      <w:numFmt w:val="bullet"/>
      <w:lvlText w:val="o"/>
      <w:lvlJc w:val="left"/>
      <w:pPr>
        <w:ind w:left="5670" w:hanging="360"/>
      </w:pPr>
      <w:rPr>
        <w:rFonts w:ascii="Courier New" w:hAnsi="Courier New" w:cs="Courier New" w:hint="default"/>
      </w:rPr>
    </w:lvl>
    <w:lvl w:ilvl="8" w:tplc="04090005" w:tentative="1">
      <w:start w:val="1"/>
      <w:numFmt w:val="bullet"/>
      <w:lvlText w:val=""/>
      <w:lvlJc w:val="left"/>
      <w:pPr>
        <w:ind w:left="6390" w:hanging="360"/>
      </w:pPr>
      <w:rPr>
        <w:rFonts w:ascii="Wingdings" w:hAnsi="Wingdings" w:hint="default"/>
      </w:rPr>
    </w:lvl>
  </w:abstractNum>
  <w:abstractNum w:abstractNumId="4" w15:restartNumberingAfterBreak="0">
    <w:nsid w:val="42E50D14"/>
    <w:multiLevelType w:val="hybridMultilevel"/>
    <w:tmpl w:val="6A1047A8"/>
    <w:lvl w:ilvl="0" w:tplc="4C40A0D4">
      <w:numFmt w:val="bullet"/>
      <w:lvlText w:val="-"/>
      <w:lvlJc w:val="left"/>
      <w:pPr>
        <w:ind w:left="360" w:hanging="360"/>
      </w:pPr>
      <w:rPr>
        <w:rFonts w:ascii="Sylfaen" w:eastAsiaTheme="minorHAnsi" w:hAnsi="Sylfaen" w:cstheme="minorBidi"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5" w15:restartNumberingAfterBreak="0">
    <w:nsid w:val="4C8B3697"/>
    <w:multiLevelType w:val="hybridMultilevel"/>
    <w:tmpl w:val="F40ABD8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4EDC049A"/>
    <w:multiLevelType w:val="hybridMultilevel"/>
    <w:tmpl w:val="513495F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726263C7"/>
    <w:multiLevelType w:val="hybridMultilevel"/>
    <w:tmpl w:val="A7781812"/>
    <w:lvl w:ilvl="0" w:tplc="70DE6D44">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78657B01"/>
    <w:multiLevelType w:val="hybridMultilevel"/>
    <w:tmpl w:val="4EE87FC2"/>
    <w:lvl w:ilvl="0" w:tplc="4C40A0D4">
      <w:numFmt w:val="bullet"/>
      <w:lvlText w:val="-"/>
      <w:lvlJc w:val="left"/>
      <w:pPr>
        <w:ind w:left="360" w:hanging="360"/>
      </w:pPr>
      <w:rPr>
        <w:rFonts w:ascii="Sylfaen" w:eastAsiaTheme="minorHAnsi" w:hAnsi="Sylfaen"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7AE16CB1"/>
    <w:multiLevelType w:val="hybridMultilevel"/>
    <w:tmpl w:val="FE1C1D96"/>
    <w:lvl w:ilvl="0" w:tplc="04090001">
      <w:start w:val="1"/>
      <w:numFmt w:val="bullet"/>
      <w:lvlText w:val=""/>
      <w:lvlJc w:val="left"/>
      <w:pPr>
        <w:ind w:left="810" w:hanging="360"/>
      </w:pPr>
      <w:rPr>
        <w:rFonts w:ascii="Symbol" w:hAnsi="Symbol" w:hint="default"/>
      </w:rPr>
    </w:lvl>
    <w:lvl w:ilvl="1" w:tplc="04090003" w:tentative="1">
      <w:start w:val="1"/>
      <w:numFmt w:val="bullet"/>
      <w:lvlText w:val="o"/>
      <w:lvlJc w:val="left"/>
      <w:pPr>
        <w:ind w:left="1530" w:hanging="360"/>
      </w:pPr>
      <w:rPr>
        <w:rFonts w:ascii="Courier New" w:hAnsi="Courier New" w:cs="Courier New" w:hint="default"/>
      </w:rPr>
    </w:lvl>
    <w:lvl w:ilvl="2" w:tplc="04090005" w:tentative="1">
      <w:start w:val="1"/>
      <w:numFmt w:val="bullet"/>
      <w:lvlText w:val=""/>
      <w:lvlJc w:val="left"/>
      <w:pPr>
        <w:ind w:left="2250" w:hanging="360"/>
      </w:pPr>
      <w:rPr>
        <w:rFonts w:ascii="Wingdings" w:hAnsi="Wingdings" w:hint="default"/>
      </w:rPr>
    </w:lvl>
    <w:lvl w:ilvl="3" w:tplc="04090001" w:tentative="1">
      <w:start w:val="1"/>
      <w:numFmt w:val="bullet"/>
      <w:lvlText w:val=""/>
      <w:lvlJc w:val="left"/>
      <w:pPr>
        <w:ind w:left="2970" w:hanging="360"/>
      </w:pPr>
      <w:rPr>
        <w:rFonts w:ascii="Symbol" w:hAnsi="Symbol" w:hint="default"/>
      </w:rPr>
    </w:lvl>
    <w:lvl w:ilvl="4" w:tplc="04090003" w:tentative="1">
      <w:start w:val="1"/>
      <w:numFmt w:val="bullet"/>
      <w:lvlText w:val="o"/>
      <w:lvlJc w:val="left"/>
      <w:pPr>
        <w:ind w:left="3690" w:hanging="360"/>
      </w:pPr>
      <w:rPr>
        <w:rFonts w:ascii="Courier New" w:hAnsi="Courier New" w:cs="Courier New" w:hint="default"/>
      </w:rPr>
    </w:lvl>
    <w:lvl w:ilvl="5" w:tplc="04090005" w:tentative="1">
      <w:start w:val="1"/>
      <w:numFmt w:val="bullet"/>
      <w:lvlText w:val=""/>
      <w:lvlJc w:val="left"/>
      <w:pPr>
        <w:ind w:left="4410" w:hanging="360"/>
      </w:pPr>
      <w:rPr>
        <w:rFonts w:ascii="Wingdings" w:hAnsi="Wingdings" w:hint="default"/>
      </w:rPr>
    </w:lvl>
    <w:lvl w:ilvl="6" w:tplc="04090001" w:tentative="1">
      <w:start w:val="1"/>
      <w:numFmt w:val="bullet"/>
      <w:lvlText w:val=""/>
      <w:lvlJc w:val="left"/>
      <w:pPr>
        <w:ind w:left="5130" w:hanging="360"/>
      </w:pPr>
      <w:rPr>
        <w:rFonts w:ascii="Symbol" w:hAnsi="Symbol" w:hint="default"/>
      </w:rPr>
    </w:lvl>
    <w:lvl w:ilvl="7" w:tplc="04090003" w:tentative="1">
      <w:start w:val="1"/>
      <w:numFmt w:val="bullet"/>
      <w:lvlText w:val="o"/>
      <w:lvlJc w:val="left"/>
      <w:pPr>
        <w:ind w:left="5850" w:hanging="360"/>
      </w:pPr>
      <w:rPr>
        <w:rFonts w:ascii="Courier New" w:hAnsi="Courier New" w:cs="Courier New" w:hint="default"/>
      </w:rPr>
    </w:lvl>
    <w:lvl w:ilvl="8" w:tplc="04090005" w:tentative="1">
      <w:start w:val="1"/>
      <w:numFmt w:val="bullet"/>
      <w:lvlText w:val=""/>
      <w:lvlJc w:val="left"/>
      <w:pPr>
        <w:ind w:left="6570" w:hanging="360"/>
      </w:pPr>
      <w:rPr>
        <w:rFonts w:ascii="Wingdings" w:hAnsi="Wingdings" w:hint="default"/>
      </w:rPr>
    </w:lvl>
  </w:abstractNum>
  <w:abstractNum w:abstractNumId="10" w15:restartNumberingAfterBreak="0">
    <w:nsid w:val="7F855A6C"/>
    <w:multiLevelType w:val="hybridMultilevel"/>
    <w:tmpl w:val="59800252"/>
    <w:lvl w:ilvl="0" w:tplc="70DE6D44">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num w:numId="1">
    <w:abstractNumId w:val="0"/>
  </w:num>
  <w:num w:numId="2">
    <w:abstractNumId w:val="5"/>
  </w:num>
  <w:num w:numId="3">
    <w:abstractNumId w:val="1"/>
  </w:num>
  <w:num w:numId="4">
    <w:abstractNumId w:val="4"/>
  </w:num>
  <w:num w:numId="5">
    <w:abstractNumId w:val="2"/>
  </w:num>
  <w:num w:numId="6">
    <w:abstractNumId w:val="8"/>
  </w:num>
  <w:num w:numId="7">
    <w:abstractNumId w:val="6"/>
  </w:num>
  <w:num w:numId="8">
    <w:abstractNumId w:val="3"/>
  </w:num>
  <w:num w:numId="9">
    <w:abstractNumId w:val="7"/>
  </w:num>
  <w:num w:numId="10">
    <w:abstractNumId w:val="9"/>
  </w:num>
  <w:num w:numId="11">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60"/>
  <w:defaultTabStop w:val="720"/>
  <w:hyphenationZone w:val="141"/>
  <w:drawingGridHorizontalSpacing w:val="110"/>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67D2C"/>
    <w:rsid w:val="000149A0"/>
    <w:rsid w:val="000255A0"/>
    <w:rsid w:val="00027B7B"/>
    <w:rsid w:val="00031DE6"/>
    <w:rsid w:val="000770C6"/>
    <w:rsid w:val="000826B2"/>
    <w:rsid w:val="000862A4"/>
    <w:rsid w:val="000A3AB1"/>
    <w:rsid w:val="000B0DE9"/>
    <w:rsid w:val="000B505B"/>
    <w:rsid w:val="000E0B1C"/>
    <w:rsid w:val="000F68A8"/>
    <w:rsid w:val="001015C9"/>
    <w:rsid w:val="00116209"/>
    <w:rsid w:val="0011631C"/>
    <w:rsid w:val="001216FF"/>
    <w:rsid w:val="001321C3"/>
    <w:rsid w:val="00135544"/>
    <w:rsid w:val="001511E0"/>
    <w:rsid w:val="00151299"/>
    <w:rsid w:val="00156F5D"/>
    <w:rsid w:val="0018547F"/>
    <w:rsid w:val="0019798D"/>
    <w:rsid w:val="001B1447"/>
    <w:rsid w:val="001C1FB9"/>
    <w:rsid w:val="001C41E0"/>
    <w:rsid w:val="001D204D"/>
    <w:rsid w:val="001D710F"/>
    <w:rsid w:val="001F30B4"/>
    <w:rsid w:val="00200A4A"/>
    <w:rsid w:val="00211D1F"/>
    <w:rsid w:val="002136EB"/>
    <w:rsid w:val="00222EB2"/>
    <w:rsid w:val="00256033"/>
    <w:rsid w:val="00256423"/>
    <w:rsid w:val="00257567"/>
    <w:rsid w:val="002757B6"/>
    <w:rsid w:val="00282D91"/>
    <w:rsid w:val="002959D0"/>
    <w:rsid w:val="002B7BCF"/>
    <w:rsid w:val="002C53AF"/>
    <w:rsid w:val="002C7E3F"/>
    <w:rsid w:val="002D09D8"/>
    <w:rsid w:val="002D333E"/>
    <w:rsid w:val="002E6876"/>
    <w:rsid w:val="002F0C0E"/>
    <w:rsid w:val="002F36F1"/>
    <w:rsid w:val="002F65AC"/>
    <w:rsid w:val="0031396C"/>
    <w:rsid w:val="003276BC"/>
    <w:rsid w:val="00331167"/>
    <w:rsid w:val="00354162"/>
    <w:rsid w:val="00392ECB"/>
    <w:rsid w:val="0039535D"/>
    <w:rsid w:val="003A5CD1"/>
    <w:rsid w:val="003A6FCF"/>
    <w:rsid w:val="003B5671"/>
    <w:rsid w:val="003B5E86"/>
    <w:rsid w:val="003B7B0F"/>
    <w:rsid w:val="003C51C8"/>
    <w:rsid w:val="003C66D4"/>
    <w:rsid w:val="003D19ED"/>
    <w:rsid w:val="003F2377"/>
    <w:rsid w:val="004007DA"/>
    <w:rsid w:val="00402E6D"/>
    <w:rsid w:val="00403B8A"/>
    <w:rsid w:val="00423109"/>
    <w:rsid w:val="00451580"/>
    <w:rsid w:val="0045544B"/>
    <w:rsid w:val="004600F5"/>
    <w:rsid w:val="00462740"/>
    <w:rsid w:val="00475182"/>
    <w:rsid w:val="004753BA"/>
    <w:rsid w:val="00487611"/>
    <w:rsid w:val="004939B5"/>
    <w:rsid w:val="004A7828"/>
    <w:rsid w:val="004C53EE"/>
    <w:rsid w:val="004C5C8B"/>
    <w:rsid w:val="004C6FF6"/>
    <w:rsid w:val="004E5A74"/>
    <w:rsid w:val="004F273C"/>
    <w:rsid w:val="005015A5"/>
    <w:rsid w:val="00513E2C"/>
    <w:rsid w:val="00514AAB"/>
    <w:rsid w:val="00522986"/>
    <w:rsid w:val="00556B2A"/>
    <w:rsid w:val="00562D90"/>
    <w:rsid w:val="00582E37"/>
    <w:rsid w:val="00586A79"/>
    <w:rsid w:val="00596100"/>
    <w:rsid w:val="005A2B74"/>
    <w:rsid w:val="005B73D1"/>
    <w:rsid w:val="005D1533"/>
    <w:rsid w:val="005D52BF"/>
    <w:rsid w:val="005F4B3F"/>
    <w:rsid w:val="005F7D0C"/>
    <w:rsid w:val="0060439F"/>
    <w:rsid w:val="00612EB6"/>
    <w:rsid w:val="006468DD"/>
    <w:rsid w:val="00663BBC"/>
    <w:rsid w:val="00664991"/>
    <w:rsid w:val="00687ABB"/>
    <w:rsid w:val="006A6913"/>
    <w:rsid w:val="006B2974"/>
    <w:rsid w:val="006B2DB2"/>
    <w:rsid w:val="006B5542"/>
    <w:rsid w:val="006D4381"/>
    <w:rsid w:val="006D58FE"/>
    <w:rsid w:val="006D71C6"/>
    <w:rsid w:val="006E315D"/>
    <w:rsid w:val="006F2271"/>
    <w:rsid w:val="0071446E"/>
    <w:rsid w:val="00720253"/>
    <w:rsid w:val="00724133"/>
    <w:rsid w:val="00732828"/>
    <w:rsid w:val="007456E4"/>
    <w:rsid w:val="00752D4F"/>
    <w:rsid w:val="007557A1"/>
    <w:rsid w:val="00760C5F"/>
    <w:rsid w:val="007828D8"/>
    <w:rsid w:val="00790057"/>
    <w:rsid w:val="0079347E"/>
    <w:rsid w:val="00795F3B"/>
    <w:rsid w:val="007D6DD8"/>
    <w:rsid w:val="007E1EC3"/>
    <w:rsid w:val="007E65E2"/>
    <w:rsid w:val="007F08F7"/>
    <w:rsid w:val="007F5551"/>
    <w:rsid w:val="007F6756"/>
    <w:rsid w:val="00802C7B"/>
    <w:rsid w:val="00807DCE"/>
    <w:rsid w:val="008241F5"/>
    <w:rsid w:val="00830732"/>
    <w:rsid w:val="00833BE2"/>
    <w:rsid w:val="00836D98"/>
    <w:rsid w:val="00840446"/>
    <w:rsid w:val="00845516"/>
    <w:rsid w:val="008472C0"/>
    <w:rsid w:val="008548D0"/>
    <w:rsid w:val="00874F69"/>
    <w:rsid w:val="008760FF"/>
    <w:rsid w:val="008761E2"/>
    <w:rsid w:val="0088439E"/>
    <w:rsid w:val="00884AAF"/>
    <w:rsid w:val="008A409C"/>
    <w:rsid w:val="008D01F4"/>
    <w:rsid w:val="008E0704"/>
    <w:rsid w:val="008E16D9"/>
    <w:rsid w:val="008E1C42"/>
    <w:rsid w:val="008E51CE"/>
    <w:rsid w:val="008E795E"/>
    <w:rsid w:val="008F3303"/>
    <w:rsid w:val="008F4890"/>
    <w:rsid w:val="008F7865"/>
    <w:rsid w:val="00905D2E"/>
    <w:rsid w:val="009128B7"/>
    <w:rsid w:val="00913973"/>
    <w:rsid w:val="009257CC"/>
    <w:rsid w:val="00926DEC"/>
    <w:rsid w:val="00934800"/>
    <w:rsid w:val="009400A0"/>
    <w:rsid w:val="00964E16"/>
    <w:rsid w:val="00970E26"/>
    <w:rsid w:val="009756FA"/>
    <w:rsid w:val="0098451D"/>
    <w:rsid w:val="00987056"/>
    <w:rsid w:val="00990409"/>
    <w:rsid w:val="00992AC7"/>
    <w:rsid w:val="009A3A95"/>
    <w:rsid w:val="009A401A"/>
    <w:rsid w:val="009B4CF6"/>
    <w:rsid w:val="009D1C8A"/>
    <w:rsid w:val="009E04DF"/>
    <w:rsid w:val="00A070C4"/>
    <w:rsid w:val="00A07929"/>
    <w:rsid w:val="00A10A10"/>
    <w:rsid w:val="00A30992"/>
    <w:rsid w:val="00A31FA3"/>
    <w:rsid w:val="00A33F1D"/>
    <w:rsid w:val="00A45009"/>
    <w:rsid w:val="00A55521"/>
    <w:rsid w:val="00A559A1"/>
    <w:rsid w:val="00A55ACD"/>
    <w:rsid w:val="00A62A73"/>
    <w:rsid w:val="00A64D98"/>
    <w:rsid w:val="00A74EB8"/>
    <w:rsid w:val="00AA429A"/>
    <w:rsid w:val="00AB2039"/>
    <w:rsid w:val="00AC7AD0"/>
    <w:rsid w:val="00AD0E98"/>
    <w:rsid w:val="00B06BE4"/>
    <w:rsid w:val="00B102A1"/>
    <w:rsid w:val="00B22179"/>
    <w:rsid w:val="00B25C44"/>
    <w:rsid w:val="00B37440"/>
    <w:rsid w:val="00B42C79"/>
    <w:rsid w:val="00B51F38"/>
    <w:rsid w:val="00B618EE"/>
    <w:rsid w:val="00B67C79"/>
    <w:rsid w:val="00B70FBA"/>
    <w:rsid w:val="00B72144"/>
    <w:rsid w:val="00B75B7C"/>
    <w:rsid w:val="00BA172F"/>
    <w:rsid w:val="00BB18B9"/>
    <w:rsid w:val="00BC00F6"/>
    <w:rsid w:val="00BD3662"/>
    <w:rsid w:val="00BD69DA"/>
    <w:rsid w:val="00BE1E0D"/>
    <w:rsid w:val="00C006E9"/>
    <w:rsid w:val="00C25554"/>
    <w:rsid w:val="00C415E1"/>
    <w:rsid w:val="00C423E9"/>
    <w:rsid w:val="00C533A0"/>
    <w:rsid w:val="00C574E9"/>
    <w:rsid w:val="00C759A7"/>
    <w:rsid w:val="00C831F2"/>
    <w:rsid w:val="00C96BA1"/>
    <w:rsid w:val="00CC7DEE"/>
    <w:rsid w:val="00CD5099"/>
    <w:rsid w:val="00CE2268"/>
    <w:rsid w:val="00CE37F9"/>
    <w:rsid w:val="00CF05EE"/>
    <w:rsid w:val="00CF08D1"/>
    <w:rsid w:val="00CF3C9C"/>
    <w:rsid w:val="00D12DD4"/>
    <w:rsid w:val="00D2005D"/>
    <w:rsid w:val="00D34189"/>
    <w:rsid w:val="00D469AA"/>
    <w:rsid w:val="00D513D2"/>
    <w:rsid w:val="00D55475"/>
    <w:rsid w:val="00D555BA"/>
    <w:rsid w:val="00D574D6"/>
    <w:rsid w:val="00D5783C"/>
    <w:rsid w:val="00D63DBF"/>
    <w:rsid w:val="00D87410"/>
    <w:rsid w:val="00D95113"/>
    <w:rsid w:val="00DA3A9B"/>
    <w:rsid w:val="00DA4855"/>
    <w:rsid w:val="00DA7348"/>
    <w:rsid w:val="00DB4BE7"/>
    <w:rsid w:val="00DD4256"/>
    <w:rsid w:val="00DD47E1"/>
    <w:rsid w:val="00DF383A"/>
    <w:rsid w:val="00DF5788"/>
    <w:rsid w:val="00E0425C"/>
    <w:rsid w:val="00E152A0"/>
    <w:rsid w:val="00E4608B"/>
    <w:rsid w:val="00E53780"/>
    <w:rsid w:val="00E67D2C"/>
    <w:rsid w:val="00E95F9E"/>
    <w:rsid w:val="00EA11E0"/>
    <w:rsid w:val="00EB60DE"/>
    <w:rsid w:val="00EC6D5B"/>
    <w:rsid w:val="00EC6E1E"/>
    <w:rsid w:val="00EF3976"/>
    <w:rsid w:val="00EF63F8"/>
    <w:rsid w:val="00F01AD7"/>
    <w:rsid w:val="00F06656"/>
    <w:rsid w:val="00F13A84"/>
    <w:rsid w:val="00F177F6"/>
    <w:rsid w:val="00F20E99"/>
    <w:rsid w:val="00F4106F"/>
    <w:rsid w:val="00F41825"/>
    <w:rsid w:val="00F554C3"/>
    <w:rsid w:val="00F622AF"/>
    <w:rsid w:val="00F6706C"/>
    <w:rsid w:val="00F67BD1"/>
    <w:rsid w:val="00F73478"/>
    <w:rsid w:val="00F73D44"/>
    <w:rsid w:val="00F96A29"/>
    <w:rsid w:val="00F9729C"/>
    <w:rsid w:val="00FA4A8B"/>
    <w:rsid w:val="00FA6D5B"/>
    <w:rsid w:val="00FB09DB"/>
    <w:rsid w:val="00FB6419"/>
    <w:rsid w:val="00FC249E"/>
    <w:rsid w:val="00FC490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BBD1C46"/>
  <w15:chartTrackingRefBased/>
  <w15:docId w15:val="{225B9ED2-9807-46A7-8201-14A79874E31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lang w:val="ka-GE"/>
    </w:rPr>
  </w:style>
  <w:style w:type="paragraph" w:styleId="Heading1">
    <w:name w:val="heading 1"/>
    <w:basedOn w:val="Normal"/>
    <w:next w:val="Normal"/>
    <w:link w:val="Heading1Char"/>
    <w:uiPriority w:val="9"/>
    <w:qFormat/>
    <w:rsid w:val="00E67D2C"/>
    <w:pPr>
      <w:keepNext/>
      <w:keepLines/>
      <w:spacing w:before="360" w:after="80"/>
      <w:outlineLvl w:val="0"/>
    </w:pPr>
    <w:rPr>
      <w:rFonts w:asciiTheme="majorHAnsi" w:eastAsiaTheme="majorEastAsia" w:hAnsiTheme="majorHAnsi" w:cstheme="majorBidi"/>
      <w:color w:val="2E74B5" w:themeColor="accent1" w:themeShade="BF"/>
      <w:sz w:val="40"/>
      <w:szCs w:val="40"/>
    </w:rPr>
  </w:style>
  <w:style w:type="paragraph" w:styleId="Heading2">
    <w:name w:val="heading 2"/>
    <w:basedOn w:val="Normal"/>
    <w:next w:val="Normal"/>
    <w:link w:val="Heading2Char"/>
    <w:uiPriority w:val="9"/>
    <w:semiHidden/>
    <w:unhideWhenUsed/>
    <w:qFormat/>
    <w:rsid w:val="00E67D2C"/>
    <w:pPr>
      <w:keepNext/>
      <w:keepLines/>
      <w:spacing w:before="160" w:after="80"/>
      <w:outlineLvl w:val="1"/>
    </w:pPr>
    <w:rPr>
      <w:rFonts w:asciiTheme="majorHAnsi" w:eastAsiaTheme="majorEastAsia" w:hAnsiTheme="majorHAnsi" w:cstheme="majorBidi"/>
      <w:color w:val="2E74B5" w:themeColor="accent1" w:themeShade="BF"/>
      <w:sz w:val="32"/>
      <w:szCs w:val="32"/>
    </w:rPr>
  </w:style>
  <w:style w:type="paragraph" w:styleId="Heading3">
    <w:name w:val="heading 3"/>
    <w:basedOn w:val="Normal"/>
    <w:next w:val="Normal"/>
    <w:link w:val="Heading3Char"/>
    <w:uiPriority w:val="9"/>
    <w:semiHidden/>
    <w:unhideWhenUsed/>
    <w:qFormat/>
    <w:rsid w:val="00E67D2C"/>
    <w:pPr>
      <w:keepNext/>
      <w:keepLines/>
      <w:spacing w:before="160" w:after="80"/>
      <w:outlineLvl w:val="2"/>
    </w:pPr>
    <w:rPr>
      <w:rFonts w:eastAsiaTheme="majorEastAsia" w:cstheme="majorBidi"/>
      <w:color w:val="2E74B5" w:themeColor="accent1" w:themeShade="BF"/>
      <w:sz w:val="28"/>
      <w:szCs w:val="28"/>
    </w:rPr>
  </w:style>
  <w:style w:type="paragraph" w:styleId="Heading4">
    <w:name w:val="heading 4"/>
    <w:basedOn w:val="Normal"/>
    <w:next w:val="Normal"/>
    <w:link w:val="Heading4Char"/>
    <w:uiPriority w:val="9"/>
    <w:semiHidden/>
    <w:unhideWhenUsed/>
    <w:qFormat/>
    <w:rsid w:val="00E67D2C"/>
    <w:pPr>
      <w:keepNext/>
      <w:keepLines/>
      <w:spacing w:before="80" w:after="40"/>
      <w:outlineLvl w:val="3"/>
    </w:pPr>
    <w:rPr>
      <w:rFonts w:eastAsiaTheme="majorEastAsia" w:cstheme="majorBidi"/>
      <w:i/>
      <w:iCs/>
      <w:color w:val="2E74B5" w:themeColor="accent1" w:themeShade="BF"/>
    </w:rPr>
  </w:style>
  <w:style w:type="paragraph" w:styleId="Heading5">
    <w:name w:val="heading 5"/>
    <w:basedOn w:val="Normal"/>
    <w:next w:val="Normal"/>
    <w:link w:val="Heading5Char"/>
    <w:uiPriority w:val="9"/>
    <w:semiHidden/>
    <w:unhideWhenUsed/>
    <w:qFormat/>
    <w:rsid w:val="00E67D2C"/>
    <w:pPr>
      <w:keepNext/>
      <w:keepLines/>
      <w:spacing w:before="80" w:after="40"/>
      <w:outlineLvl w:val="4"/>
    </w:pPr>
    <w:rPr>
      <w:rFonts w:eastAsiaTheme="majorEastAsia" w:cstheme="majorBidi"/>
      <w:color w:val="2E74B5" w:themeColor="accent1" w:themeShade="BF"/>
    </w:rPr>
  </w:style>
  <w:style w:type="paragraph" w:styleId="Heading6">
    <w:name w:val="heading 6"/>
    <w:basedOn w:val="Normal"/>
    <w:next w:val="Normal"/>
    <w:link w:val="Heading6Char"/>
    <w:uiPriority w:val="9"/>
    <w:semiHidden/>
    <w:unhideWhenUsed/>
    <w:qFormat/>
    <w:rsid w:val="00E67D2C"/>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E67D2C"/>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E67D2C"/>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E67D2C"/>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E67D2C"/>
    <w:rPr>
      <w:rFonts w:asciiTheme="majorHAnsi" w:eastAsiaTheme="majorEastAsia" w:hAnsiTheme="majorHAnsi" w:cstheme="majorBidi"/>
      <w:color w:val="2E74B5" w:themeColor="accent1" w:themeShade="BF"/>
      <w:sz w:val="40"/>
      <w:szCs w:val="40"/>
    </w:rPr>
  </w:style>
  <w:style w:type="character" w:customStyle="1" w:styleId="Heading2Char">
    <w:name w:val="Heading 2 Char"/>
    <w:basedOn w:val="DefaultParagraphFont"/>
    <w:link w:val="Heading2"/>
    <w:uiPriority w:val="9"/>
    <w:semiHidden/>
    <w:rsid w:val="00E67D2C"/>
    <w:rPr>
      <w:rFonts w:asciiTheme="majorHAnsi" w:eastAsiaTheme="majorEastAsia" w:hAnsiTheme="majorHAnsi" w:cstheme="majorBidi"/>
      <w:color w:val="2E74B5" w:themeColor="accent1" w:themeShade="BF"/>
      <w:sz w:val="32"/>
      <w:szCs w:val="32"/>
    </w:rPr>
  </w:style>
  <w:style w:type="character" w:customStyle="1" w:styleId="Heading3Char">
    <w:name w:val="Heading 3 Char"/>
    <w:basedOn w:val="DefaultParagraphFont"/>
    <w:link w:val="Heading3"/>
    <w:uiPriority w:val="9"/>
    <w:semiHidden/>
    <w:rsid w:val="00E67D2C"/>
    <w:rPr>
      <w:rFonts w:eastAsiaTheme="majorEastAsia" w:cstheme="majorBidi"/>
      <w:color w:val="2E74B5" w:themeColor="accent1" w:themeShade="BF"/>
      <w:sz w:val="28"/>
      <w:szCs w:val="28"/>
    </w:rPr>
  </w:style>
  <w:style w:type="character" w:customStyle="1" w:styleId="Heading4Char">
    <w:name w:val="Heading 4 Char"/>
    <w:basedOn w:val="DefaultParagraphFont"/>
    <w:link w:val="Heading4"/>
    <w:uiPriority w:val="9"/>
    <w:semiHidden/>
    <w:rsid w:val="00E67D2C"/>
    <w:rPr>
      <w:rFonts w:eastAsiaTheme="majorEastAsia" w:cstheme="majorBidi"/>
      <w:i/>
      <w:iCs/>
      <w:color w:val="2E74B5" w:themeColor="accent1" w:themeShade="BF"/>
    </w:rPr>
  </w:style>
  <w:style w:type="character" w:customStyle="1" w:styleId="Heading5Char">
    <w:name w:val="Heading 5 Char"/>
    <w:basedOn w:val="DefaultParagraphFont"/>
    <w:link w:val="Heading5"/>
    <w:uiPriority w:val="9"/>
    <w:semiHidden/>
    <w:rsid w:val="00E67D2C"/>
    <w:rPr>
      <w:rFonts w:eastAsiaTheme="majorEastAsia" w:cstheme="majorBidi"/>
      <w:color w:val="2E74B5" w:themeColor="accent1" w:themeShade="BF"/>
    </w:rPr>
  </w:style>
  <w:style w:type="character" w:customStyle="1" w:styleId="Heading6Char">
    <w:name w:val="Heading 6 Char"/>
    <w:basedOn w:val="DefaultParagraphFont"/>
    <w:link w:val="Heading6"/>
    <w:uiPriority w:val="9"/>
    <w:semiHidden/>
    <w:rsid w:val="00E67D2C"/>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E67D2C"/>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E67D2C"/>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E67D2C"/>
    <w:rPr>
      <w:rFonts w:eastAsiaTheme="majorEastAsia" w:cstheme="majorBidi"/>
      <w:color w:val="272727" w:themeColor="text1" w:themeTint="D8"/>
    </w:rPr>
  </w:style>
  <w:style w:type="paragraph" w:styleId="Title">
    <w:name w:val="Title"/>
    <w:basedOn w:val="Normal"/>
    <w:next w:val="Normal"/>
    <w:link w:val="TitleChar"/>
    <w:uiPriority w:val="10"/>
    <w:qFormat/>
    <w:rsid w:val="00E67D2C"/>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E67D2C"/>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E67D2C"/>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E67D2C"/>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E67D2C"/>
    <w:pPr>
      <w:spacing w:before="160"/>
      <w:jc w:val="center"/>
    </w:pPr>
    <w:rPr>
      <w:i/>
      <w:iCs/>
      <w:color w:val="404040" w:themeColor="text1" w:themeTint="BF"/>
    </w:rPr>
  </w:style>
  <w:style w:type="character" w:customStyle="1" w:styleId="QuoteChar">
    <w:name w:val="Quote Char"/>
    <w:basedOn w:val="DefaultParagraphFont"/>
    <w:link w:val="Quote"/>
    <w:uiPriority w:val="29"/>
    <w:rsid w:val="00E67D2C"/>
    <w:rPr>
      <w:i/>
      <w:iCs/>
      <w:color w:val="404040" w:themeColor="text1" w:themeTint="BF"/>
    </w:rPr>
  </w:style>
  <w:style w:type="paragraph" w:styleId="ListParagraph">
    <w:name w:val="List Paragraph"/>
    <w:basedOn w:val="Normal"/>
    <w:uiPriority w:val="34"/>
    <w:qFormat/>
    <w:rsid w:val="00E67D2C"/>
    <w:pPr>
      <w:ind w:left="720"/>
      <w:contextualSpacing/>
    </w:pPr>
  </w:style>
  <w:style w:type="character" w:styleId="IntenseEmphasis">
    <w:name w:val="Intense Emphasis"/>
    <w:basedOn w:val="DefaultParagraphFont"/>
    <w:uiPriority w:val="21"/>
    <w:qFormat/>
    <w:rsid w:val="00E67D2C"/>
    <w:rPr>
      <w:i/>
      <w:iCs/>
      <w:color w:val="2E74B5" w:themeColor="accent1" w:themeShade="BF"/>
    </w:rPr>
  </w:style>
  <w:style w:type="paragraph" w:styleId="IntenseQuote">
    <w:name w:val="Intense Quote"/>
    <w:basedOn w:val="Normal"/>
    <w:next w:val="Normal"/>
    <w:link w:val="IntenseQuoteChar"/>
    <w:uiPriority w:val="30"/>
    <w:qFormat/>
    <w:rsid w:val="00E67D2C"/>
    <w:pPr>
      <w:pBdr>
        <w:top w:val="single" w:sz="4" w:space="10" w:color="2E74B5" w:themeColor="accent1" w:themeShade="BF"/>
        <w:bottom w:val="single" w:sz="4" w:space="10" w:color="2E74B5" w:themeColor="accent1" w:themeShade="BF"/>
      </w:pBdr>
      <w:spacing w:before="360" w:after="360"/>
      <w:ind w:left="864" w:right="864"/>
      <w:jc w:val="center"/>
    </w:pPr>
    <w:rPr>
      <w:i/>
      <w:iCs/>
      <w:color w:val="2E74B5" w:themeColor="accent1" w:themeShade="BF"/>
    </w:rPr>
  </w:style>
  <w:style w:type="character" w:customStyle="1" w:styleId="IntenseQuoteChar">
    <w:name w:val="Intense Quote Char"/>
    <w:basedOn w:val="DefaultParagraphFont"/>
    <w:link w:val="IntenseQuote"/>
    <w:uiPriority w:val="30"/>
    <w:rsid w:val="00E67D2C"/>
    <w:rPr>
      <w:i/>
      <w:iCs/>
      <w:color w:val="2E74B5" w:themeColor="accent1" w:themeShade="BF"/>
    </w:rPr>
  </w:style>
  <w:style w:type="character" w:styleId="IntenseReference">
    <w:name w:val="Intense Reference"/>
    <w:basedOn w:val="DefaultParagraphFont"/>
    <w:uiPriority w:val="32"/>
    <w:qFormat/>
    <w:rsid w:val="00E67D2C"/>
    <w:rPr>
      <w:b/>
      <w:bCs/>
      <w:smallCaps/>
      <w:color w:val="2E74B5" w:themeColor="accent1" w:themeShade="BF"/>
      <w:spacing w:val="5"/>
    </w:rPr>
  </w:style>
  <w:style w:type="paragraph" w:styleId="Revision">
    <w:name w:val="Revision"/>
    <w:hidden/>
    <w:uiPriority w:val="99"/>
    <w:semiHidden/>
    <w:rsid w:val="00AA429A"/>
    <w:pPr>
      <w:spacing w:after="0" w:line="240" w:lineRule="auto"/>
    </w:pPr>
    <w:rPr>
      <w:lang w:val="ka-GE"/>
    </w:rPr>
  </w:style>
  <w:style w:type="character" w:styleId="CommentReference">
    <w:name w:val="annotation reference"/>
    <w:basedOn w:val="DefaultParagraphFont"/>
    <w:uiPriority w:val="99"/>
    <w:semiHidden/>
    <w:unhideWhenUsed/>
    <w:rsid w:val="00884AAF"/>
    <w:rPr>
      <w:sz w:val="16"/>
      <w:szCs w:val="16"/>
    </w:rPr>
  </w:style>
  <w:style w:type="paragraph" w:styleId="CommentText">
    <w:name w:val="annotation text"/>
    <w:basedOn w:val="Normal"/>
    <w:link w:val="CommentTextChar"/>
    <w:uiPriority w:val="99"/>
    <w:semiHidden/>
    <w:unhideWhenUsed/>
    <w:rsid w:val="00884AAF"/>
    <w:pPr>
      <w:spacing w:line="240" w:lineRule="auto"/>
    </w:pPr>
    <w:rPr>
      <w:sz w:val="20"/>
      <w:szCs w:val="20"/>
    </w:rPr>
  </w:style>
  <w:style w:type="character" w:customStyle="1" w:styleId="CommentTextChar">
    <w:name w:val="Comment Text Char"/>
    <w:basedOn w:val="DefaultParagraphFont"/>
    <w:link w:val="CommentText"/>
    <w:uiPriority w:val="99"/>
    <w:semiHidden/>
    <w:rsid w:val="00884AAF"/>
    <w:rPr>
      <w:sz w:val="20"/>
      <w:szCs w:val="20"/>
      <w:lang w:val="ka-GE"/>
    </w:rPr>
  </w:style>
  <w:style w:type="paragraph" w:styleId="CommentSubject">
    <w:name w:val="annotation subject"/>
    <w:basedOn w:val="CommentText"/>
    <w:next w:val="CommentText"/>
    <w:link w:val="CommentSubjectChar"/>
    <w:uiPriority w:val="99"/>
    <w:semiHidden/>
    <w:unhideWhenUsed/>
    <w:rsid w:val="00884AAF"/>
    <w:rPr>
      <w:b/>
      <w:bCs/>
    </w:rPr>
  </w:style>
  <w:style w:type="character" w:customStyle="1" w:styleId="CommentSubjectChar">
    <w:name w:val="Comment Subject Char"/>
    <w:basedOn w:val="CommentTextChar"/>
    <w:link w:val="CommentSubject"/>
    <w:uiPriority w:val="99"/>
    <w:semiHidden/>
    <w:rsid w:val="00884AAF"/>
    <w:rPr>
      <w:b/>
      <w:bCs/>
      <w:sz w:val="20"/>
      <w:szCs w:val="20"/>
      <w:lang w:val="ka-GE"/>
    </w:rPr>
  </w:style>
  <w:style w:type="paragraph" w:styleId="BalloonText">
    <w:name w:val="Balloon Text"/>
    <w:basedOn w:val="Normal"/>
    <w:link w:val="BalloonTextChar"/>
    <w:uiPriority w:val="99"/>
    <w:semiHidden/>
    <w:unhideWhenUsed/>
    <w:rsid w:val="00884AAF"/>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884AAF"/>
    <w:rPr>
      <w:rFonts w:ascii="Segoe UI" w:hAnsi="Segoe UI" w:cs="Segoe UI"/>
      <w:sz w:val="18"/>
      <w:szCs w:val="18"/>
      <w:lang w:val="ka-G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5297870">
      <w:bodyDiv w:val="1"/>
      <w:marLeft w:val="0"/>
      <w:marRight w:val="0"/>
      <w:marTop w:val="0"/>
      <w:marBottom w:val="0"/>
      <w:divBdr>
        <w:top w:val="none" w:sz="0" w:space="0" w:color="auto"/>
        <w:left w:val="none" w:sz="0" w:space="0" w:color="auto"/>
        <w:bottom w:val="none" w:sz="0" w:space="0" w:color="auto"/>
        <w:right w:val="none" w:sz="0" w:space="0" w:color="auto"/>
      </w:divBdr>
    </w:div>
    <w:div w:id="89862505">
      <w:bodyDiv w:val="1"/>
      <w:marLeft w:val="0"/>
      <w:marRight w:val="0"/>
      <w:marTop w:val="0"/>
      <w:marBottom w:val="0"/>
      <w:divBdr>
        <w:top w:val="none" w:sz="0" w:space="0" w:color="auto"/>
        <w:left w:val="none" w:sz="0" w:space="0" w:color="auto"/>
        <w:bottom w:val="none" w:sz="0" w:space="0" w:color="auto"/>
        <w:right w:val="none" w:sz="0" w:space="0" w:color="auto"/>
      </w:divBdr>
    </w:div>
    <w:div w:id="193007369">
      <w:bodyDiv w:val="1"/>
      <w:marLeft w:val="0"/>
      <w:marRight w:val="0"/>
      <w:marTop w:val="0"/>
      <w:marBottom w:val="0"/>
      <w:divBdr>
        <w:top w:val="none" w:sz="0" w:space="0" w:color="auto"/>
        <w:left w:val="none" w:sz="0" w:space="0" w:color="auto"/>
        <w:bottom w:val="none" w:sz="0" w:space="0" w:color="auto"/>
        <w:right w:val="none" w:sz="0" w:space="0" w:color="auto"/>
      </w:divBdr>
    </w:div>
    <w:div w:id="226261376">
      <w:bodyDiv w:val="1"/>
      <w:marLeft w:val="0"/>
      <w:marRight w:val="0"/>
      <w:marTop w:val="0"/>
      <w:marBottom w:val="0"/>
      <w:divBdr>
        <w:top w:val="none" w:sz="0" w:space="0" w:color="auto"/>
        <w:left w:val="none" w:sz="0" w:space="0" w:color="auto"/>
        <w:bottom w:val="none" w:sz="0" w:space="0" w:color="auto"/>
        <w:right w:val="none" w:sz="0" w:space="0" w:color="auto"/>
      </w:divBdr>
    </w:div>
    <w:div w:id="330838230">
      <w:bodyDiv w:val="1"/>
      <w:marLeft w:val="0"/>
      <w:marRight w:val="0"/>
      <w:marTop w:val="0"/>
      <w:marBottom w:val="0"/>
      <w:divBdr>
        <w:top w:val="none" w:sz="0" w:space="0" w:color="auto"/>
        <w:left w:val="none" w:sz="0" w:space="0" w:color="auto"/>
        <w:bottom w:val="none" w:sz="0" w:space="0" w:color="auto"/>
        <w:right w:val="none" w:sz="0" w:space="0" w:color="auto"/>
      </w:divBdr>
    </w:div>
    <w:div w:id="473911650">
      <w:bodyDiv w:val="1"/>
      <w:marLeft w:val="0"/>
      <w:marRight w:val="0"/>
      <w:marTop w:val="0"/>
      <w:marBottom w:val="0"/>
      <w:divBdr>
        <w:top w:val="none" w:sz="0" w:space="0" w:color="auto"/>
        <w:left w:val="none" w:sz="0" w:space="0" w:color="auto"/>
        <w:bottom w:val="none" w:sz="0" w:space="0" w:color="auto"/>
        <w:right w:val="none" w:sz="0" w:space="0" w:color="auto"/>
      </w:divBdr>
    </w:div>
    <w:div w:id="1182747618">
      <w:bodyDiv w:val="1"/>
      <w:marLeft w:val="0"/>
      <w:marRight w:val="0"/>
      <w:marTop w:val="0"/>
      <w:marBottom w:val="0"/>
      <w:divBdr>
        <w:top w:val="none" w:sz="0" w:space="0" w:color="auto"/>
        <w:left w:val="none" w:sz="0" w:space="0" w:color="auto"/>
        <w:bottom w:val="none" w:sz="0" w:space="0" w:color="auto"/>
        <w:right w:val="none" w:sz="0" w:space="0" w:color="auto"/>
      </w:divBdr>
    </w:div>
    <w:div w:id="1186485060">
      <w:bodyDiv w:val="1"/>
      <w:marLeft w:val="0"/>
      <w:marRight w:val="0"/>
      <w:marTop w:val="0"/>
      <w:marBottom w:val="0"/>
      <w:divBdr>
        <w:top w:val="none" w:sz="0" w:space="0" w:color="auto"/>
        <w:left w:val="none" w:sz="0" w:space="0" w:color="auto"/>
        <w:bottom w:val="none" w:sz="0" w:space="0" w:color="auto"/>
        <w:right w:val="none" w:sz="0" w:space="0" w:color="auto"/>
      </w:divBdr>
    </w:div>
    <w:div w:id="1205483910">
      <w:bodyDiv w:val="1"/>
      <w:marLeft w:val="0"/>
      <w:marRight w:val="0"/>
      <w:marTop w:val="0"/>
      <w:marBottom w:val="0"/>
      <w:divBdr>
        <w:top w:val="none" w:sz="0" w:space="0" w:color="auto"/>
        <w:left w:val="none" w:sz="0" w:space="0" w:color="auto"/>
        <w:bottom w:val="none" w:sz="0" w:space="0" w:color="auto"/>
        <w:right w:val="none" w:sz="0" w:space="0" w:color="auto"/>
      </w:divBdr>
    </w:div>
    <w:div w:id="1365591402">
      <w:bodyDiv w:val="1"/>
      <w:marLeft w:val="0"/>
      <w:marRight w:val="0"/>
      <w:marTop w:val="0"/>
      <w:marBottom w:val="0"/>
      <w:divBdr>
        <w:top w:val="none" w:sz="0" w:space="0" w:color="auto"/>
        <w:left w:val="none" w:sz="0" w:space="0" w:color="auto"/>
        <w:bottom w:val="none" w:sz="0" w:space="0" w:color="auto"/>
        <w:right w:val="none" w:sz="0" w:space="0" w:color="auto"/>
      </w:divBdr>
    </w:div>
    <w:div w:id="1503860396">
      <w:bodyDiv w:val="1"/>
      <w:marLeft w:val="0"/>
      <w:marRight w:val="0"/>
      <w:marTop w:val="0"/>
      <w:marBottom w:val="0"/>
      <w:divBdr>
        <w:top w:val="none" w:sz="0" w:space="0" w:color="auto"/>
        <w:left w:val="none" w:sz="0" w:space="0" w:color="auto"/>
        <w:bottom w:val="none" w:sz="0" w:space="0" w:color="auto"/>
        <w:right w:val="none" w:sz="0" w:space="0" w:color="auto"/>
      </w:divBdr>
    </w:div>
    <w:div w:id="1787580341">
      <w:bodyDiv w:val="1"/>
      <w:marLeft w:val="0"/>
      <w:marRight w:val="0"/>
      <w:marTop w:val="0"/>
      <w:marBottom w:val="0"/>
      <w:divBdr>
        <w:top w:val="none" w:sz="0" w:space="0" w:color="auto"/>
        <w:left w:val="none" w:sz="0" w:space="0" w:color="auto"/>
        <w:bottom w:val="none" w:sz="0" w:space="0" w:color="auto"/>
        <w:right w:val="none" w:sz="0" w:space="0" w:color="auto"/>
      </w:divBdr>
    </w:div>
    <w:div w:id="1873421923">
      <w:bodyDiv w:val="1"/>
      <w:marLeft w:val="0"/>
      <w:marRight w:val="0"/>
      <w:marTop w:val="0"/>
      <w:marBottom w:val="0"/>
      <w:divBdr>
        <w:top w:val="none" w:sz="0" w:space="0" w:color="auto"/>
        <w:left w:val="none" w:sz="0" w:space="0" w:color="auto"/>
        <w:bottom w:val="none" w:sz="0" w:space="0" w:color="auto"/>
        <w:right w:val="none" w:sz="0" w:space="0" w:color="auto"/>
      </w:divBdr>
    </w:div>
    <w:div w:id="2003970678">
      <w:bodyDiv w:val="1"/>
      <w:marLeft w:val="0"/>
      <w:marRight w:val="0"/>
      <w:marTop w:val="0"/>
      <w:marBottom w:val="0"/>
      <w:divBdr>
        <w:top w:val="none" w:sz="0" w:space="0" w:color="auto"/>
        <w:left w:val="none" w:sz="0" w:space="0" w:color="auto"/>
        <w:bottom w:val="none" w:sz="0" w:space="0" w:color="auto"/>
        <w:right w:val="none" w:sz="0" w:space="0" w:color="auto"/>
      </w:divBdr>
    </w:div>
    <w:div w:id="2022002681">
      <w:bodyDiv w:val="1"/>
      <w:marLeft w:val="0"/>
      <w:marRight w:val="0"/>
      <w:marTop w:val="0"/>
      <w:marBottom w:val="0"/>
      <w:divBdr>
        <w:top w:val="none" w:sz="0" w:space="0" w:color="auto"/>
        <w:left w:val="none" w:sz="0" w:space="0" w:color="auto"/>
        <w:bottom w:val="none" w:sz="0" w:space="0" w:color="auto"/>
        <w:right w:val="none" w:sz="0" w:space="0" w:color="auto"/>
      </w:divBdr>
    </w:div>
    <w:div w:id="2031683749">
      <w:bodyDiv w:val="1"/>
      <w:marLeft w:val="0"/>
      <w:marRight w:val="0"/>
      <w:marTop w:val="0"/>
      <w:marBottom w:val="0"/>
      <w:divBdr>
        <w:top w:val="none" w:sz="0" w:space="0" w:color="auto"/>
        <w:left w:val="none" w:sz="0" w:space="0" w:color="auto"/>
        <w:bottom w:val="none" w:sz="0" w:space="0" w:color="auto"/>
        <w:right w:val="none" w:sz="0" w:space="0" w:color="auto"/>
      </w:divBdr>
    </w:div>
    <w:div w:id="20512956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312</TotalTime>
  <Pages>1</Pages>
  <Words>1381</Words>
  <Characters>7877</Characters>
  <Application>Microsoft Office Word</Application>
  <DocSecurity>0</DocSecurity>
  <Lines>65</Lines>
  <Paragraphs>18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9240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არჩილ გორდულაძე</dc:creator>
  <cp:keywords/>
  <dc:description/>
  <cp:lastModifiedBy>Khatuna Kapanadze</cp:lastModifiedBy>
  <cp:revision>165</cp:revision>
  <dcterms:created xsi:type="dcterms:W3CDTF">2025-04-05T22:14:00Z</dcterms:created>
  <dcterms:modified xsi:type="dcterms:W3CDTF">2025-04-07T08:23:00Z</dcterms:modified>
</cp:coreProperties>
</file>